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ONLINE TRADING SCRIPT</w:t>
      </w:r>
    </w:p>
    <w:p>
      <w:pPr>
        <w:pStyle w:val="Normal"/>
        <w:jc w:val="center"/>
        <w:rPr>
          <w:b/>
          <w:bCs/>
        </w:rPr>
      </w:pPr>
      <w:r>
        <w:rPr>
          <w:b/>
          <w:bCs/>
        </w:rPr>
        <w:t>LEGAL</w:t>
      </w:r>
    </w:p>
    <w:p>
      <w:pPr>
        <w:pStyle w:val="Normal"/>
        <w:rPr>
          <w:b/>
          <w:bCs/>
        </w:rPr>
      </w:pPr>
      <w:r>
        <w:rPr>
          <w:b/>
          <w:bCs/>
        </w:rPr>
      </w:r>
    </w:p>
    <w:p>
      <w:pPr>
        <w:pStyle w:val="Normal"/>
        <w:rPr/>
      </w:pPr>
      <w:r>
        <w:rPr/>
      </w:r>
    </w:p>
    <w:p>
      <w:pPr>
        <w:pStyle w:val="Heading1"/>
        <w:ind w:hanging="0" w:start="0"/>
        <w:rPr/>
      </w:pPr>
      <w:r>
        <w:rPr/>
        <w:t>Role/Function of Legal in the Customer Approval Process</w:t>
      </w:r>
    </w:p>
    <w:p>
      <w:pPr>
        <w:pStyle w:val="Normal"/>
        <w:rPr/>
      </w:pPr>
      <w:r>
        <w:rPr/>
      </w:r>
    </w:p>
    <w:p>
      <w:pPr>
        <w:pStyle w:val="Heading2"/>
        <w:rPr/>
      </w:pPr>
      <w:r>
        <w:rPr/>
        <w:t>Accept/Decline Password Applications and Registration Forms</w:t>
      </w:r>
    </w:p>
    <w:p>
      <w:pPr>
        <w:pStyle w:val="Normal"/>
        <w:ind w:start="400" w:end="0"/>
        <w:rPr/>
      </w:pPr>
      <w:r>
        <w:rPr/>
      </w:r>
    </w:p>
    <w:p>
      <w:pPr>
        <w:pStyle w:val="BodyText"/>
        <w:ind w:start="400" w:end="0"/>
        <w:rPr/>
      </w:pPr>
      <w:r>
        <w:rPr/>
        <w:t>Legal has issued guidelines concerning acceptable signers of Password Applications and is involved on the rare occasions when a Counterparty will not agree to, or wants to negotiate, the form of Password Application or Electronic Trading Agreement (each of which are discussed in more detail later).  All such calls should be forwarded to a member of the Legal Team.</w:t>
      </w:r>
    </w:p>
    <w:p>
      <w:pPr>
        <w:pStyle w:val="Normal"/>
        <w:ind w:start="400" w:end="0"/>
        <w:rPr/>
      </w:pPr>
      <w:r>
        <w:rPr/>
      </w:r>
    </w:p>
    <w:p>
      <w:pPr>
        <w:pStyle w:val="Heading2"/>
        <w:rPr/>
      </w:pPr>
      <w:r>
        <w:rPr/>
        <w:t>Determine Product Profiles</w:t>
      </w:r>
    </w:p>
    <w:p>
      <w:pPr>
        <w:pStyle w:val="Normal"/>
        <w:ind w:start="400" w:end="0"/>
        <w:rPr/>
      </w:pPr>
      <w:r>
        <w:rPr/>
      </w:r>
    </w:p>
    <w:p>
      <w:pPr>
        <w:pStyle w:val="BodyText"/>
        <w:ind w:start="400" w:end="0"/>
        <w:rPr/>
      </w:pPr>
      <w:r>
        <w:rPr/>
        <w:t>Legal reviews every counterparty once it has been approved to trade by Credit.  Credit sends a daily list to Legal of the approved and rejected counterparties.  The list is distributed to all the Legal Groups involved in the approval process including Financial Trading, Physical Gas Trading, Emerging Markets, Power Trading, Bandwidth Trading, and the Australian Legal Team.  Other groups are added as new products go online.  Legal has one day from receipt of the list to approve or reject a counterparty for trading each Group’s respective product(s).  Legal combines the responses received from the different Groups and sends a coordinated response to the Online Team for entry in the Counterparty matrix.</w:t>
      </w:r>
    </w:p>
    <w:p>
      <w:pPr>
        <w:pStyle w:val="Normal"/>
        <w:ind w:start="400" w:end="0"/>
        <w:rPr/>
      </w:pPr>
      <w:r>
        <w:rPr/>
      </w:r>
    </w:p>
    <w:p>
      <w:pPr>
        <w:pStyle w:val="Normal"/>
        <w:ind w:start="400" w:end="0"/>
        <w:jc w:val="both"/>
        <w:rPr/>
      </w:pPr>
      <w:r>
        <w:rPr/>
        <w:t>In addition, each time an Approved Counterparties List is received, Legal works with Global Contracts to resolve any contract issues involved with trading a particular product.  These contract issues may include the existence of executed master agreements or sending out an “override letter” so we can trade under a GTC instead of a master agreement, or it may involve attaching a particular contract to a particular product (for example, using the GTC for East Coast power even if both Enron and the Counterparty are parties to the WSPP Agreement).</w:t>
      </w:r>
    </w:p>
    <w:p>
      <w:pPr>
        <w:pStyle w:val="Normal"/>
        <w:ind w:start="400" w:end="0"/>
        <w:rPr/>
      </w:pPr>
      <w:r>
        <w:rPr/>
      </w:r>
    </w:p>
    <w:p>
      <w:pPr>
        <w:pStyle w:val="Header"/>
        <w:tabs>
          <w:tab w:val="clear" w:pos="4320"/>
          <w:tab w:val="clear" w:pos="8640"/>
        </w:tabs>
        <w:ind w:start="400" w:end="0"/>
        <w:rPr>
          <w:b/>
          <w:bCs/>
        </w:rPr>
      </w:pPr>
      <w:r>
        <w:rPr>
          <w:b/>
          <w:bCs/>
        </w:rPr>
        <w:t>Amendments to Customer Profiles</w:t>
      </w:r>
    </w:p>
    <w:p>
      <w:pPr>
        <w:pStyle w:val="Normal"/>
        <w:ind w:start="400" w:end="0"/>
        <w:rPr>
          <w:b/>
          <w:bCs/>
        </w:rPr>
      </w:pPr>
      <w:r>
        <w:rPr>
          <w:b/>
          <w:bCs/>
        </w:rPr>
      </w:r>
    </w:p>
    <w:p>
      <w:pPr>
        <w:pStyle w:val="Normal"/>
        <w:ind w:start="400" w:end="0"/>
        <w:jc w:val="both"/>
        <w:rPr/>
      </w:pPr>
      <w:r>
        <w:rPr/>
        <w:t>From time to time Legal will ask Credit to resubmit a counterparty for approval when Legal would like to change the previous approval status for a counterparty.  Legal may resubmit a counterparty for approval if the contract status has changed (a master agreement is now in place where there wasn’t one before), the product approval status is changed (we may have a foreign jurisdiction where we were waiting on legal advice to approve a product and have now received such advice), or for other legal/contract reasons.</w:t>
      </w:r>
    </w:p>
    <w:p>
      <w:pPr>
        <w:pStyle w:val="Normal"/>
        <w:ind w:start="400" w:end="0"/>
        <w:jc w:val="both"/>
        <w:rPr/>
      </w:pPr>
      <w:r>
        <w:rPr/>
      </w:r>
    </w:p>
    <w:p>
      <w:pPr>
        <w:pStyle w:val="Normal"/>
        <w:keepNext w:val="true"/>
        <w:ind w:start="400" w:end="0"/>
        <w:rPr>
          <w:b/>
          <w:bCs/>
        </w:rPr>
      </w:pPr>
      <w:r>
        <w:rPr>
          <w:b/>
          <w:bCs/>
        </w:rPr>
        <w:t>Contractual Framework (how they bind the customer and cover Enron and its affiliates)</w:t>
      </w:r>
    </w:p>
    <w:p>
      <w:pPr>
        <w:pStyle w:val="Normal"/>
        <w:keepNext w:val="true"/>
        <w:ind w:firstLine="400" w:start="400" w:end="0"/>
        <w:rPr>
          <w:b/>
          <w:bCs/>
        </w:rPr>
      </w:pPr>
      <w:r>
        <w:rPr>
          <w:b/>
          <w:bCs/>
        </w:rPr>
      </w:r>
    </w:p>
    <w:p>
      <w:pPr>
        <w:pStyle w:val="Normal"/>
        <w:keepNext w:val="true"/>
        <w:ind w:firstLine="400" w:start="400" w:end="0"/>
        <w:jc w:val="both"/>
        <w:rPr/>
      </w:pPr>
      <w:r>
        <w:rPr/>
        <w:t>Legal’s two primary concerns are that the combination of actions of our customers and ourselves result in binding contracts and that the contract terms between us and our customers are as consistent as possible.  The EnronOnline contract structure was designed with those concerns in mind.</w:t>
      </w:r>
    </w:p>
    <w:p>
      <w:pPr>
        <w:pStyle w:val="Normal"/>
        <w:ind w:start="400" w:end="0"/>
        <w:rPr/>
      </w:pPr>
      <w:r>
        <w:rPr/>
      </w:r>
    </w:p>
    <w:p>
      <w:pPr>
        <w:pStyle w:val="Heading3"/>
        <w:rPr/>
      </w:pPr>
      <w:r>
        <w:rPr/>
        <w:t>Password Application</w:t>
      </w:r>
    </w:p>
    <w:p>
      <w:pPr>
        <w:pStyle w:val="BodyTextIndent"/>
        <w:ind w:start="700" w:end="0"/>
        <w:jc w:val="both"/>
        <w:rPr/>
      </w:pPr>
      <w:r>
        <w:rPr/>
      </w:r>
    </w:p>
    <w:p>
      <w:pPr>
        <w:pStyle w:val="BodyTextIndent"/>
        <w:ind w:start="700" w:end="0"/>
        <w:jc w:val="both"/>
        <w:rPr/>
      </w:pPr>
      <w:r>
        <w:rPr/>
        <w:t>Since “clicking” on a website might not be recognized as creating a contract, we require that each customer sign a Password Application – an authorized person actually has to put pen to paper – in which the customer agrees that they mean to be bound by “clicking” on the website.</w:t>
      </w:r>
    </w:p>
    <w:p>
      <w:pPr>
        <w:pStyle w:val="BodyTextIndent"/>
        <w:ind w:start="700" w:end="0"/>
        <w:jc w:val="both"/>
        <w:rPr/>
      </w:pPr>
      <w:r>
        <w:rPr/>
      </w:r>
    </w:p>
    <w:p>
      <w:pPr>
        <w:pStyle w:val="Normal"/>
        <w:ind w:start="400" w:end="0"/>
        <w:rPr>
          <w:b/>
          <w:bCs/>
        </w:rPr>
      </w:pPr>
      <w:r>
        <w:rPr>
          <w:b/>
          <w:bCs/>
        </w:rPr>
        <w:t>Electronic Trading Agreement (“ETA”)</w:t>
      </w:r>
    </w:p>
    <w:p>
      <w:pPr>
        <w:pStyle w:val="BodyTextIndent3"/>
        <w:rPr>
          <w:b/>
          <w:bCs/>
        </w:rPr>
      </w:pPr>
      <w:r>
        <w:rPr>
          <w:b/>
          <w:bCs/>
        </w:rPr>
      </w:r>
    </w:p>
    <w:p>
      <w:pPr>
        <w:pStyle w:val="BodyTextIndent3"/>
        <w:rPr/>
      </w:pPr>
      <w:r>
        <w:rPr/>
        <w:t>After executing the Password Application and receiving approval to trade, the first time a master user signs on, it will be asked to agree to the ETA by clicking on the designated space.  After this initial approval, the customer will not have to reclick to approve the ETA again.</w:t>
      </w:r>
    </w:p>
    <w:p>
      <w:pPr>
        <w:pStyle w:val="BodyTextIndent"/>
        <w:ind w:start="700" w:end="0"/>
        <w:jc w:val="both"/>
        <w:rPr/>
      </w:pPr>
      <w:r>
        <w:rPr/>
      </w:r>
    </w:p>
    <w:p>
      <w:pPr>
        <w:pStyle w:val="Normal"/>
        <w:jc w:val="both"/>
        <w:rPr/>
      </w:pPr>
      <w:r>
        <w:rPr>
          <w:b/>
          <w:bCs/>
          <w:sz w:val="20"/>
        </w:rPr>
        <w:t>QUESTION:</w:t>
      </w:r>
      <w:r>
        <w:rPr>
          <w:sz w:val="20"/>
        </w:rPr>
        <w:t xml:space="preserve">  Where is the provision that requires you to click on the Electronic Trading Agreement prior to trading on the Website?  ANSWER:  The provision is contained in the second paragraph of the Password Application, in subparagraph (3) which states… </w:t>
      </w:r>
      <w:r>
        <w:rPr>
          <w:i/>
          <w:iCs/>
          <w:sz w:val="20"/>
        </w:rPr>
        <w:t>“Prior to Counterparty’s first execution of Transactions through the Website, it will be required to indicate its agreement to the ETA by “clicking” on the designated spaces and, thereafter, any access and utilization of the Website using any of the Passwords will be governed by the Password Application and the ETA.”  In addition, this process is built in to the functionality of the Website.</w:t>
      </w:r>
    </w:p>
    <w:p>
      <w:pPr>
        <w:pStyle w:val="Normal"/>
        <w:ind w:start="700" w:end="0"/>
        <w:jc w:val="both"/>
        <w:rPr>
          <w:i/>
          <w:i/>
          <w:iCs/>
          <w:sz w:val="20"/>
        </w:rPr>
      </w:pPr>
      <w:r>
        <w:rPr>
          <w:i/>
          <w:iCs/>
          <w:sz w:val="20"/>
        </w:rPr>
      </w:r>
    </w:p>
    <w:p>
      <w:pPr>
        <w:pStyle w:val="Normal"/>
        <w:ind w:start="700" w:end="0"/>
        <w:jc w:val="both"/>
        <w:rPr/>
      </w:pPr>
      <w:r>
        <w:rPr/>
        <w:t>The Electronic Trading Agreement establishes the rest of the legal framework for all trading between the parties on the EnronOnline Website.  Among other terms and conditions contained in the ETA, the ETA provides for the following:</w:t>
      </w:r>
    </w:p>
    <w:p>
      <w:pPr>
        <w:pStyle w:val="Normal"/>
        <w:ind w:start="700" w:end="0"/>
        <w:jc w:val="both"/>
        <w:rPr/>
      </w:pPr>
      <w:r>
        <w:rPr/>
      </w:r>
    </w:p>
    <w:p>
      <w:pPr>
        <w:pStyle w:val="Normal"/>
        <w:ind w:start="1100" w:end="0"/>
        <w:jc w:val="both"/>
        <w:rPr/>
      </w:pPr>
      <w:r>
        <w:rPr/>
        <w:t>Each Transaction entered into on the Website is governed by the ETA, the Password Application, the short and long descriptions posted on the Website, any master agreement between the Enron entity trading a product and the Counterparty in respect of a product, and if no master agreement is in place, the General Terms and Conditions in place in respect of such product.</w:t>
      </w:r>
    </w:p>
    <w:p>
      <w:pPr>
        <w:pStyle w:val="Normal"/>
        <w:ind w:start="1100" w:end="0"/>
        <w:jc w:val="both"/>
        <w:rPr/>
      </w:pPr>
      <w:r>
        <w:rPr/>
      </w:r>
    </w:p>
    <w:p>
      <w:pPr>
        <w:pStyle w:val="Normal"/>
        <w:ind w:start="1100" w:end="0"/>
        <w:jc w:val="both"/>
        <w:rPr/>
      </w:pPr>
      <w:r>
        <w:rPr/>
        <w:t>The Counterparty will enter into a Transaction on the Website by means of an offer to buy from, or sell to, Enron (not vice versa).</w:t>
      </w:r>
    </w:p>
    <w:p>
      <w:pPr>
        <w:pStyle w:val="Normal"/>
        <w:ind w:start="1100" w:end="0"/>
        <w:jc w:val="both"/>
        <w:rPr/>
      </w:pPr>
      <w:r>
        <w:rPr/>
      </w:r>
    </w:p>
    <w:p>
      <w:pPr>
        <w:pStyle w:val="Normal"/>
        <w:ind w:start="1100" w:end="0"/>
        <w:jc w:val="both"/>
        <w:rPr/>
      </w:pPr>
      <w:r>
        <w:rPr/>
        <w:t>Enron may accept or reject Counterparty’s offer at its sole discretion.  The Transactions will be deemed to be executed upon Enron’s acceptance of Counterparty’s offer.</w:t>
      </w:r>
    </w:p>
    <w:p>
      <w:pPr>
        <w:pStyle w:val="Normal"/>
        <w:ind w:start="1100" w:end="0"/>
        <w:jc w:val="both"/>
        <w:rPr/>
      </w:pPr>
      <w:r>
        <w:rPr/>
      </w:r>
    </w:p>
    <w:p>
      <w:pPr>
        <w:pStyle w:val="Normal"/>
        <w:ind w:start="1100" w:end="0"/>
        <w:jc w:val="both"/>
        <w:rPr/>
      </w:pPr>
      <w:r>
        <w:rPr/>
        <w:t xml:space="preserve">Enron </w:t>
      </w:r>
      <w:r>
        <w:rPr>
          <w:i/>
          <w:iCs/>
        </w:rPr>
        <w:t>may</w:t>
      </w:r>
      <w:r>
        <w:rPr/>
        <w:t xml:space="preserve"> furnish the Counterparty with a confirmation of each Transaction.</w:t>
      </w:r>
    </w:p>
    <w:p>
      <w:pPr>
        <w:pStyle w:val="Normal"/>
        <w:ind w:start="400" w:end="0"/>
        <w:rPr/>
      </w:pPr>
      <w:r>
        <w:rPr/>
      </w:r>
    </w:p>
    <w:p>
      <w:pPr>
        <w:pStyle w:val="Heading2"/>
        <w:rPr/>
      </w:pPr>
      <w:r>
        <w:rPr/>
        <w:t>Auction Trading Agreement</w:t>
      </w:r>
    </w:p>
    <w:p>
      <w:pPr>
        <w:pStyle w:val="Normal"/>
        <w:ind w:start="400" w:end="0"/>
        <w:rPr/>
      </w:pPr>
      <w:r>
        <w:rPr/>
      </w:r>
    </w:p>
    <w:p>
      <w:pPr>
        <w:pStyle w:val="Normal"/>
        <w:ind w:start="400" w:end="0"/>
        <w:jc w:val="both"/>
        <w:rPr/>
      </w:pPr>
      <w:r>
        <w:rPr/>
        <w:t>The Auction Trading Agreement takes the place of the ETA for customers which want access to only the auction portion of the Website.  A Counterparty will still be required to enter into an Electronic Trading Agreement prior to transacting any non-auction products on the Website.</w:t>
      </w:r>
    </w:p>
    <w:p>
      <w:pPr>
        <w:pStyle w:val="Normal"/>
        <w:keepNext w:val="true"/>
        <w:ind w:firstLine="400" w:end="0"/>
        <w:rPr/>
      </w:pPr>
      <w:r>
        <w:rPr/>
      </w:r>
    </w:p>
    <w:p>
      <w:pPr>
        <w:pStyle w:val="Normal"/>
        <w:keepNext w:val="true"/>
        <w:ind w:firstLine="400" w:end="0"/>
        <w:rPr>
          <w:b/>
          <w:bCs/>
        </w:rPr>
      </w:pPr>
      <w:r>
        <w:rPr>
          <w:b/>
          <w:bCs/>
        </w:rPr>
        <w:t>Multiple Enron trading companies</w:t>
      </w:r>
    </w:p>
    <w:p>
      <w:pPr>
        <w:pStyle w:val="BodyTextIndent2"/>
        <w:keepNext w:val="true"/>
        <w:rPr>
          <w:b/>
          <w:bCs/>
        </w:rPr>
      </w:pPr>
      <w:r>
        <w:rPr>
          <w:b/>
          <w:bCs/>
        </w:rPr>
      </w:r>
    </w:p>
    <w:p>
      <w:pPr>
        <w:pStyle w:val="BodyTextIndent2"/>
        <w:keepNext w:val="true"/>
        <w:jc w:val="both"/>
        <w:rPr/>
      </w:pPr>
      <w:r>
        <w:rPr/>
        <w:t xml:space="preserve">Enron trades through multiple companies on the EnronOnline Website.  If you take a look at the Password Application and Electronic Trading Agreement you will see that it applies to “EnronOnline, LLC and its affiliates”.  Over 15 affiliates currently trade on the Website and more are added as new products go online.  </w:t>
      </w:r>
    </w:p>
    <w:p>
      <w:pPr>
        <w:pStyle w:val="Normal"/>
        <w:ind w:start="400" w:end="0"/>
        <w:rPr/>
      </w:pPr>
      <w:r>
        <w:rPr/>
      </w:r>
    </w:p>
    <w:p>
      <w:pPr>
        <w:pStyle w:val="Heading1"/>
        <w:ind w:hanging="0" w:start="400" w:end="0"/>
        <w:rPr/>
      </w:pPr>
      <w:r>
        <w:rPr/>
        <w:t>Master Agreements vs. GTC’s</w:t>
      </w:r>
    </w:p>
    <w:p>
      <w:pPr>
        <w:pStyle w:val="Normal"/>
        <w:ind w:start="400" w:end="0"/>
        <w:rPr/>
      </w:pPr>
      <w:r>
        <w:rPr/>
      </w:r>
    </w:p>
    <w:p>
      <w:pPr>
        <w:pStyle w:val="Normal"/>
        <w:ind w:start="400" w:end="0"/>
        <w:jc w:val="both"/>
        <w:rPr/>
      </w:pPr>
      <w:r>
        <w:rPr/>
        <w:t xml:space="preserve">The Electronic Trading Agreement provides that each Transaction executed by Counterparty through the Website shall be subject to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“GTCs”)…then in effect…and published on the Website…”.</w:t>
      </w:r>
    </w:p>
    <w:p>
      <w:pPr>
        <w:pStyle w:val="Normal"/>
        <w:ind w:start="400" w:end="0"/>
        <w:jc w:val="both"/>
        <w:rPr/>
      </w:pPr>
      <w:r>
        <w:rPr/>
      </w:r>
    </w:p>
    <w:p>
      <w:pPr>
        <w:pStyle w:val="Normal"/>
        <w:ind w:start="400" w:end="0"/>
        <w:jc w:val="both"/>
        <w:rPr/>
      </w:pPr>
      <w:r>
        <w:rPr>
          <w:i/>
          <w:iCs/>
        </w:rPr>
        <w:t>Generally</w:t>
      </w:r>
      <w:r>
        <w:rPr/>
        <w:t>, you should assume that if there is a master agreement in place with respect to a product type, the master agreement should govern any transaction for that product.</w:t>
      </w:r>
    </w:p>
    <w:p>
      <w:pPr>
        <w:pStyle w:val="Normal"/>
        <w:ind w:start="400" w:end="0"/>
        <w:rPr/>
      </w:pPr>
      <w:r>
        <w:rPr/>
      </w:r>
    </w:p>
    <w:p>
      <w:pPr>
        <w:pStyle w:val="Heading2"/>
        <w:ind w:start="403" w:end="0"/>
        <w:rPr/>
      </w:pPr>
      <w:r>
        <w:rPr/>
        <w:t>General Terms and Conditions</w:t>
      </w:r>
    </w:p>
    <w:p>
      <w:pPr>
        <w:pStyle w:val="Normal"/>
        <w:keepNext w:val="true"/>
        <w:ind w:start="403" w:end="0"/>
        <w:rPr/>
      </w:pPr>
      <w:r>
        <w:rPr/>
      </w:r>
    </w:p>
    <w:p>
      <w:pPr>
        <w:pStyle w:val="Normal"/>
        <w:keepNext w:val="true"/>
        <w:ind w:start="403" w:end="0"/>
        <w:jc w:val="both"/>
        <w:rPr/>
      </w:pPr>
      <w:r>
        <w:rPr/>
        <w:t xml:space="preserve">If a master agreement </w:t>
      </w:r>
      <w:r>
        <w:rPr>
          <w:i/>
          <w:iCs/>
        </w:rPr>
        <w:t>is not</w:t>
      </w:r>
      <w:r>
        <w:rPr/>
        <w:t xml:space="preserve"> in place between a Counterparty and the relevant Enron entity trading a product, the Counterparty must agree to the General Terms and Conditions or “GTC” for such product before trading.  The GTC contains the relevant legal and credit terms and conditions applicable to the Transaction.  These terms may include (among other provisions) operational and delivery information with respect to transactions in a physical commodity, and with respect to physical and financial transactions, bilateral representations and warranties, provisions for payments, default provisions, legal remedies, choice of law, arbitration, and well as other terms and conditions.  The Counterparty agrees to the GTC by clicking only the first time they trade a product.</w:t>
      </w:r>
    </w:p>
    <w:p>
      <w:pPr>
        <w:pStyle w:val="Normal"/>
        <w:ind w:start="400" w:end="0"/>
        <w:rPr/>
      </w:pPr>
      <w:r>
        <w:rPr/>
      </w:r>
    </w:p>
    <w:p>
      <w:pPr>
        <w:pStyle w:val="Heading2"/>
        <w:ind w:start="403" w:end="0"/>
        <w:rPr/>
      </w:pPr>
      <w:r>
        <w:rPr/>
        <w:t>When does the GTC supersede the master?</w:t>
      </w:r>
    </w:p>
    <w:p>
      <w:pPr>
        <w:pStyle w:val="Normal"/>
        <w:keepNext w:val="true"/>
        <w:ind w:start="403" w:end="0"/>
        <w:rPr/>
      </w:pPr>
      <w:r>
        <w:rPr/>
      </w:r>
    </w:p>
    <w:p>
      <w:pPr>
        <w:pStyle w:val="BodyText"/>
        <w:keepNext w:val="true"/>
        <w:ind w:start="403" w:end="0"/>
        <w:rPr/>
      </w:pPr>
      <w:r>
        <w:rPr/>
        <w:t>There are very few circumstances where a GTC will supersede a master agreement.  We may prefer this where the master agreement is so old, or the legal provisions or credit agreed to are so limiting, that Legal and/or Credit may direct the Global Contract Group to send out an “override letter”, which upon its execution by both parties, will enable the parties to transact under a GTC.</w:t>
      </w:r>
    </w:p>
    <w:p>
      <w:pPr>
        <w:pStyle w:val="Normal"/>
        <w:ind w:start="400" w:end="0"/>
        <w:rPr/>
      </w:pPr>
      <w:r>
        <w:rPr/>
      </w:r>
    </w:p>
    <w:p>
      <w:pPr>
        <w:pStyle w:val="Heading2"/>
        <w:rPr/>
      </w:pPr>
      <w:r>
        <w:rPr/>
        <w:t>When does the master supersede the GTC?</w:t>
      </w:r>
    </w:p>
    <w:p>
      <w:pPr>
        <w:pStyle w:val="Normal"/>
        <w:ind w:start="400" w:end="0"/>
        <w:rPr/>
      </w:pPr>
      <w:r>
        <w:rPr/>
      </w:r>
    </w:p>
    <w:p>
      <w:pPr>
        <w:pStyle w:val="Normal"/>
        <w:ind w:start="400" w:end="0"/>
        <w:jc w:val="both"/>
        <w:rPr/>
      </w:pPr>
      <w:r>
        <w:rPr>
          <w:i/>
          <w:iCs/>
        </w:rPr>
        <w:t>Generally</w:t>
      </w:r>
      <w:r>
        <w:rPr/>
        <w:t>, you should assume that if there is a master agreement in place with respect to a product type, the master agreement will govern.</w:t>
      </w:r>
    </w:p>
    <w:p>
      <w:pPr>
        <w:pStyle w:val="Normal"/>
        <w:ind w:firstLine="20" w:start="700" w:end="0"/>
        <w:rPr/>
      </w:pPr>
      <w:r>
        <w:rPr/>
      </w:r>
    </w:p>
    <w:p>
      <w:pPr>
        <w:pStyle w:val="Heading2"/>
        <w:rPr/>
      </w:pPr>
      <w:r>
        <w:rPr/>
        <w:t>Long and Short Descriptions</w:t>
      </w:r>
    </w:p>
    <w:p>
      <w:pPr>
        <w:pStyle w:val="Normal"/>
        <w:ind w:start="400" w:end="0"/>
        <w:rPr/>
      </w:pPr>
      <w:r>
        <w:rPr/>
      </w:r>
    </w:p>
    <w:p>
      <w:pPr>
        <w:pStyle w:val="Normal"/>
        <w:ind w:start="400" w:end="0"/>
        <w:jc w:val="both"/>
        <w:rPr/>
      </w:pPr>
      <w:r>
        <w:rPr/>
        <w:t>The Legal Department assists the traders and Online Team in writing the long and short descriptions of the products being traded.  The Long Description identifies the Enron contracting entity and contains the specific terms and conditions of the product being traded.  These terms may include definitions of the relevant price index, delivery points, effective and termination dates and other transaction specific provisions.  The Short Description is a single line of abbreviated text which identifies the product to our customers.  The more detailed Long Description is obtained by clicking on the Short Description.</w:t>
      </w:r>
    </w:p>
    <w:p>
      <w:pPr>
        <w:pStyle w:val="Normal"/>
        <w:ind w:start="400" w:end="0"/>
        <w:rPr/>
      </w:pPr>
      <w:r>
        <w:rPr/>
      </w:r>
    </w:p>
    <w:p>
      <w:pPr>
        <w:pStyle w:val="Heading1"/>
        <w:ind w:hanging="0" w:start="400" w:end="0"/>
        <w:rPr/>
      </w:pPr>
      <w:r>
        <w:rPr/>
        <w:t>Jurisdictional Aspects</w:t>
      </w:r>
    </w:p>
    <w:p>
      <w:pPr>
        <w:pStyle w:val="Normal"/>
        <w:rPr/>
      </w:pPr>
      <w:r>
        <w:rPr/>
      </w:r>
    </w:p>
    <w:p>
      <w:pPr>
        <w:pStyle w:val="Normal"/>
        <w:ind w:start="400" w:end="0"/>
        <w:rPr/>
      </w:pPr>
      <w:r>
        <w:rPr/>
        <w:t>Country specific PA, ETA</w:t>
      </w:r>
    </w:p>
    <w:p>
      <w:pPr>
        <w:pStyle w:val="Normal"/>
        <w:ind w:start="400" w:end="0"/>
        <w:rPr/>
      </w:pPr>
      <w:r>
        <w:rPr/>
      </w:r>
    </w:p>
    <w:p>
      <w:pPr>
        <w:pStyle w:val="Normal"/>
        <w:ind w:start="400" w:end="0"/>
        <w:jc w:val="both"/>
        <w:rPr/>
      </w:pPr>
      <w:r>
        <w:rPr/>
        <w:t>Enron North America and Enron Europe transact business online under different forms of Password Applications (in Europe it is called the “Internet Trading Access Agreement”), Electronic Trading Agreements and GTC’s.  Generally, Enron North America’s online documentation is governed by New York law, while Enron Europe’s online documentation is governed the U.K. law.  The different requirements of these legal jurisdictions necessitate different provisions in each jurisdiction’s documentation, although fundamentally, the processes and procedures remain the same from country to country.</w:t>
      </w:r>
    </w:p>
    <w:p>
      <w:pPr>
        <w:pStyle w:val="Normal"/>
        <w:ind w:start="400" w:end="0"/>
        <w:rPr/>
      </w:pPr>
      <w:r>
        <w:rPr/>
      </w:r>
    </w:p>
    <w:p>
      <w:pPr>
        <w:pStyle w:val="Heading2"/>
        <w:rPr>
          <w:b w:val="false"/>
          <w:bCs w:val="false"/>
        </w:rPr>
      </w:pPr>
      <w:r>
        <w:rPr>
          <w:b w:val="false"/>
          <w:bCs w:val="false"/>
        </w:rPr>
        <w:t>Rationale behind it</w:t>
      </w:r>
    </w:p>
    <w:p>
      <w:pPr>
        <w:pStyle w:val="Normal"/>
        <w:ind w:start="400" w:end="0"/>
        <w:rPr>
          <w:b/>
          <w:bCs/>
        </w:rPr>
      </w:pPr>
      <w:r>
        <w:rPr>
          <w:b/>
          <w:bCs/>
        </w:rPr>
      </w:r>
    </w:p>
    <w:p>
      <w:pPr>
        <w:pStyle w:val="Normal"/>
        <w:ind w:start="400" w:end="0"/>
        <w:rPr/>
      </w:pPr>
      <w:r>
        <w:rPr/>
        <w:t>In order to trade the online products around the world, legal surveys were conducted in all the countries the EnronOnline counterparties are based.  The responses received from these different legal jurisdictions directed the ability and manner in which we conduct business in each of the relevant countries.</w:t>
      </w:r>
    </w:p>
    <w:sectPr>
      <w:type w:val="nextPage"/>
      <w:pgSz w:w="12240" w:h="15840"/>
      <w:pgMar w:left="1440" w:right="1440" w:gutter="0" w:header="0" w:top="1440" w:footer="0"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400" w:end="0"/>
      <w:outlineLvl w:val="1"/>
    </w:pPr>
    <w:rPr>
      <w:b/>
      <w:bCs/>
    </w:rPr>
  </w:style>
  <w:style w:type="paragraph" w:styleId="Heading3">
    <w:name w:val="heading 3"/>
    <w:basedOn w:val="Normal"/>
    <w:next w:val="Normal"/>
    <w:qFormat/>
    <w:pPr>
      <w:keepNext w:val="true"/>
      <w:numPr>
        <w:ilvl w:val="2"/>
        <w:numId w:val="1"/>
      </w:numPr>
      <w:ind w:firstLine="400" w:start="0" w:end="0"/>
      <w:outlineLvl w:val="2"/>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00" w:end="0"/>
    </w:pPr>
    <w:rPr/>
  </w:style>
  <w:style w:type="paragraph" w:styleId="BodyTextIndent2">
    <w:name w:val="Body Text Indent 2"/>
    <w:basedOn w:val="Normal"/>
    <w:qFormat/>
    <w:pPr>
      <w:ind w:firstLine="20" w:start="700" w:end="0"/>
    </w:pPr>
    <w:rPr/>
  </w:style>
  <w:style w:type="paragraph" w:styleId="BodyTextIndent3">
    <w:name w:val="Body Text Indent 3"/>
    <w:basedOn w:val="Normal"/>
    <w:qFormat/>
    <w:pPr>
      <w:ind w:hanging="0" w:start="70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2000-06-26T10:50:00Z</dcterms:created>
  <dc:creator>tjones</dc:creator>
  <dc:description/>
  <dc:language>en-CA</dc:language>
  <cp:lastModifiedBy>tjones</cp:lastModifiedBy>
  <cp:lastPrinted>2000-06-28T18:13:00Z</cp:lastPrinted>
  <dcterms:modified xsi:type="dcterms:W3CDTF">2000-06-28T20:44:00Z</dcterms:modified>
  <cp:revision>75</cp:revision>
  <dc:subject/>
  <dc:title>ONLINE TRADING SCRIPT</dc:title>
</cp:coreProperties>
</file>