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rPr>
      </w:pPr>
      <w:r>
        <w:rPr>
          <w:b/>
          <w:u w:val="double"/>
        </w:rPr>
        <mc:AlternateContent>
          <mc:Choice Requires="wps">
            <w:drawing>
              <wp:anchor behindDoc="1" distT="0" distB="0" distL="0" distR="0" simplePos="0" locked="0" layoutInCell="0" allowOverlap="1" relativeHeight="2">
                <wp:simplePos x="0" y="0"/>
                <wp:positionH relativeFrom="column">
                  <wp:posOffset>4227195</wp:posOffset>
                </wp:positionH>
                <wp:positionV relativeFrom="paragraph">
                  <wp:posOffset>-585470</wp:posOffset>
                </wp:positionV>
                <wp:extent cx="0" cy="307975"/>
                <wp:effectExtent l="635" t="635" r="635" b="635"/>
                <wp:wrapSquare wrapText="bothSides"/>
                <wp:docPr id="1" name="Shape1"/>
                <a:graphic xmlns:a="http://schemas.openxmlformats.org/drawingml/2006/main">
                  <a:graphicData uri="http://schemas.microsoft.com/office/word/2010/wordprocessingShape">
                    <wps:wsp>
                      <wps:cNvSpPr/>
                      <wps:spPr>
                        <a:xfrm>
                          <a:off x="0" y="0"/>
                          <a:ext cx="0" cy="30780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32.85pt,-46.1pt" to="332.85pt,-21.9pt" ID="Shape1" stroked="t" o:allowincell="f" style="position:absolute">
                <v:stroke color="black" joinstyle="round" endcap="flat"/>
                <v:fill o:detectmouseclick="t" on="false"/>
                <w10:wrap type="square"/>
              </v:line>
            </w:pict>
          </mc:Fallback>
        </mc:AlternateContent>
        <w:t>{UBS WARBURG ENERGY (CANADA) LTD.}</w:t>
      </w:r>
      <w:r>
        <mc:AlternateContent>
          <mc:Choice Requires="wps">
            <w:drawing>
              <wp:anchor behindDoc="0" distT="72390" distB="72390" distL="72390" distR="72390" simplePos="0" locked="0" layoutInCell="0" allowOverlap="1" relativeHeight="3">
                <wp:simplePos x="0" y="0"/>
                <wp:positionH relativeFrom="column">
                  <wp:posOffset>4227195</wp:posOffset>
                </wp:positionH>
                <wp:positionV relativeFrom="paragraph">
                  <wp:posOffset>-585470</wp:posOffset>
                </wp:positionV>
                <wp:extent cx="1508125" cy="307975"/>
                <wp:effectExtent l="0" t="0" r="0" b="0"/>
                <wp:wrapSquare wrapText="bothSides"/>
                <wp:docPr id="2" name="Frame1"/>
                <a:graphic xmlns:a="http://schemas.openxmlformats.org/drawingml/2006/main">
                  <a:graphicData uri="http://schemas.microsoft.com/office/word/2010/wordprocessingShape">
                    <wps:wsp>
                      <wps:cNvSpPr txBox="1"/>
                      <wps:spPr>
                        <a:xfrm>
                          <a:off x="0" y="0"/>
                          <a:ext cx="1508125" cy="307975"/>
                        </a:xfrm>
                        <a:prstGeom prst="rect"/>
                        <a:solidFill>
                          <a:srgbClr val="FFFFFF">
                            <a:alpha val="0"/>
                          </a:srgbClr>
                        </a:solidFill>
                      </wps:spPr>
                      <wps:txbx>
                        <w:txbxContent>
                          <w:p>
                            <w:pPr>
                              <w:pStyle w:val="Normal"/>
                              <w:bidi w:val="0"/>
                              <w:spacing w:before="0" w:after="240"/>
                              <w:ind w:hanging="0" w:start="36" w:end="36"/>
                              <w:jc w:val="center"/>
                              <w:rPr>
                                <w:b/>
                                <w:sz w:val="14"/>
                              </w:rPr>
                            </w:pPr>
                            <w:r>
                              <w:rPr>
                                <w:b/>
                                <w:sz w:val="14"/>
                              </w:rPr>
                              <w:t>Canadian Online Gas GTC With Credit Support (02//04/02)</w:t>
                            </w:r>
                          </w:p>
                        </w:txbxContent>
                      </wps:txbx>
                      <wps:bodyPr anchor="t" lIns="0" tIns="0" rIns="0" bIns="0">
                        <a:noAutofit/>
                      </wps:bodyPr>
                    </wps:wsp>
                  </a:graphicData>
                </a:graphic>
              </wp:anchor>
            </w:drawing>
          </mc:Choice>
          <mc:Fallback>
            <w:pict>
              <v:rect fillcolor="#FFFFFF" stroked="f" strokeweight="0pt" style="position:absolute;rotation:-0;width:118.75pt;height:24.25pt;mso-wrap-distance-left:5.7pt;mso-wrap-distance-right:5.7pt;mso-wrap-distance-top:5.7pt;mso-wrap-distance-bottom:5.7pt;margin-top:-46.1pt;mso-position-vertical-relative:text;margin-left:332.85pt;mso-position-horizontal-relative:text">
                <v:fill opacity="0f"/>
                <v:textbox inset="0in,0in,0in,0in">
                  <w:txbxContent>
                    <w:p>
                      <w:pPr>
                        <w:pStyle w:val="Normal"/>
                        <w:bidi w:val="0"/>
                        <w:spacing w:before="0" w:after="240"/>
                        <w:ind w:hanging="0" w:start="36" w:end="36"/>
                        <w:jc w:val="center"/>
                        <w:rPr>
                          <w:b/>
                          <w:sz w:val="14"/>
                        </w:rPr>
                      </w:pPr>
                      <w:r>
                        <w:rPr>
                          <w:b/>
                          <w:sz w:val="14"/>
                        </w:rPr>
                        <w:t>Canadian Online Gas GTC With Credit Support (02//04/02)</w:t>
                      </w:r>
                    </w:p>
                  </w:txbxContent>
                </v:textbox>
                <w10:wrap type="square"/>
              </v:rect>
            </w:pict>
          </mc:Fallback>
        </mc:AlternateContent>
      </w:r>
    </w:p>
    <w:p>
      <w:pPr>
        <w:pStyle w:val="Normal"/>
        <w:bidi w:val="0"/>
        <w:jc w:val="center"/>
        <w:rPr>
          <w:b/>
        </w:rPr>
      </w:pPr>
      <w:r>
        <w:rPr>
          <w:b/>
        </w:rPr>
        <w:t>FIRM GAS GENERAL TERMS &amp; CONDITIONS (ONLINE) ("</w:t>
      </w:r>
      <w:r>
        <w:rPr>
          <w:b/>
          <w:u w:val="single"/>
        </w:rPr>
        <w:t>GTC</w:t>
      </w:r>
      <w:r>
        <w:rPr>
          <w:b/>
        </w:rPr>
        <w:t>")</w:t>
      </w:r>
    </w:p>
    <w:p>
      <w:pPr>
        <w:pStyle w:val="Sharon1"/>
        <w:bidi w:val="0"/>
        <w:rPr/>
      </w:pPr>
      <w:r>
        <w:rPr>
          <w:b/>
        </w:rPr>
        <w:t>1.</w:t>
        <w:tab/>
      </w:r>
      <w:r>
        <w:rPr>
          <w:b/>
          <w:u w:val="single"/>
        </w:rPr>
        <w:t>Transactions</w:t>
      </w:r>
      <w:r>
        <w:rPr/>
        <w:t xml:space="preserve">.    UBS </w:t>
      </w:r>
      <w:r>
        <w:rPr>
          <w:strike/>
        </w:rPr>
        <w:t>{AG, a bank}</w:t>
      </w:r>
      <w:r>
        <w:rPr/>
        <w:t xml:space="preserve"> </w:t>
      </w:r>
      <w:r>
        <w:rPr>
          <w:u w:val="double"/>
        </w:rPr>
        <w:t>{Warburg Energy (Canada) Ltd. (a corporation formed and}</w:t>
      </w:r>
      <w:r>
        <w:rPr/>
        <w:t xml:space="preserve"> organized under the laws of </w:t>
      </w:r>
      <w:r>
        <w:rPr>
          <w:strike/>
        </w:rPr>
        <w:t>{Switzerland}</w:t>
      </w:r>
      <w:r>
        <w:rPr/>
        <w:t xml:space="preserve"> </w:t>
      </w:r>
      <w:r>
        <w:rPr>
          <w:u w:val="double"/>
        </w:rPr>
        <w:t xml:space="preserve">{Canada) </w:t>
      </w:r>
      <w:r>
        <w:rPr>
          <w:b/>
          <w:u w:val="double"/>
        </w:rPr>
        <w:t>[Note:    guarantee or other credit support issue]}</w:t>
      </w:r>
      <w:r>
        <w:rPr/>
        <w:t xml:space="preserve"> ("</w:t>
      </w:r>
      <w:r>
        <w:rPr>
          <w:u w:val="single"/>
        </w:rPr>
        <w:t>UBS</w:t>
      </w:r>
      <w:r>
        <w:rPr/>
        <w:t>"), and counterparty from time to time may engage in transactions pursuant to this GTC and the terms set forth in the internet-based electronic trading facility established by UBS referencing this GTC (the "</w:t>
      </w:r>
      <w:r>
        <w:rPr>
          <w:u w:val="single"/>
        </w:rPr>
        <w:t>Website</w:t>
      </w:r>
      <w:r>
        <w:rPr/>
        <w:t>") submitted by counterparty and accepted by UBS (each a "</w:t>
      </w:r>
      <w:r>
        <w:rPr>
          <w:u w:val="single"/>
        </w:rPr>
        <w:t>Transaction</w:t>
      </w:r>
      <w:r>
        <w:rPr/>
        <w:t>" and collectively, the "</w:t>
      </w:r>
      <w:r>
        <w:rPr>
          <w:u w:val="single"/>
        </w:rPr>
        <w:t>Transactions</w:t>
      </w:r>
      <w:r>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u w:val="single"/>
        </w:rPr>
        <w:t>Long Product Definitions</w:t>
      </w:r>
      <w:r>
        <w:rPr/>
        <w:t xml:space="preserve">"), which Long Product Definitions are incorporated as additional terms of the applicable Transaction.    </w:t>
      </w:r>
      <w:r>
        <w:rPr>
          <w:strike/>
        </w:rPr>
        <w:t>{Definitions applicable to certain capitalized terms herein used are set forth in Section 17.}</w:t>
      </w:r>
      <w:r>
        <w:rPr/>
        <w:t xml:space="preserve"> All Transactions hereunder</w:t>
      </w:r>
      <w:r>
        <w:rPr>
          <w:u w:val="double"/>
        </w:rPr>
        <w:t>{,}</w:t>
      </w:r>
      <w:r>
        <w:rPr/>
        <w:t xml:space="preserve"> and all </w:t>
      </w:r>
      <w:r>
        <w:rPr>
          <w:strike/>
        </w:rPr>
        <w:t>{transactions}</w:t>
      </w:r>
      <w:r>
        <w:rPr/>
        <w:t xml:space="preserve"> </w:t>
      </w:r>
      <w:r>
        <w:rPr>
          <w:u w:val="double"/>
        </w:rPr>
        <w:t>{Transactions}</w:t>
      </w:r>
      <w:r>
        <w:rPr/>
        <w:t xml:space="preserve"> made pursuant to </w:t>
      </w:r>
      <w:r>
        <w:rPr>
          <w:strike/>
        </w:rPr>
        <w:t>{the}</w:t>
      </w:r>
      <w:r>
        <w:rPr/>
        <w:t xml:space="preserve"> Firm Gas General Terms </w:t>
      </w:r>
      <w:r>
        <w:rPr>
          <w:strike/>
        </w:rPr>
        <w:t>{&amp;}</w:t>
      </w:r>
      <w:r>
        <w:rPr/>
        <w:t xml:space="preserve"> </w:t>
      </w:r>
      <w:r>
        <w:rPr>
          <w:u w:val="double"/>
        </w:rPr>
        <w:t>{and}</w:t>
      </w:r>
      <w:r>
        <w:rPr/>
        <w:t xml:space="preserve"> Conditions</w:t>
      </w:r>
      <w:r>
        <w:rPr>
          <w:strike/>
        </w:rPr>
        <w:t>{,}</w:t>
      </w:r>
      <w:r>
        <w:rPr/>
        <w:t xml:space="preserve"> but not </w:t>
      </w:r>
      <w:r>
        <w:rPr>
          <w:strike/>
        </w:rPr>
        <w:t>{transacted}</w:t>
      </w:r>
      <w:r>
        <w:rPr/>
        <w:t xml:space="preserve"> </w:t>
      </w:r>
      <w:r>
        <w:rPr>
          <w:u w:val="double"/>
        </w:rPr>
        <w:t>{transactioned}</w:t>
      </w:r>
      <w:r>
        <w:rPr/>
        <w:t xml:space="preserve"> on the Website, shall be considered a single master agreement until such time as the foregoing are hereafter governed by a master agreement between the parties as may be therein set forth.    In the event of any inconsistency between </w:t>
      </w:r>
      <w:r>
        <w:rPr>
          <w:strike/>
        </w:rPr>
        <w:t>{the}</w:t>
      </w:r>
      <w:r>
        <w:rPr/>
        <w:t xml:space="preserve"> </w:t>
      </w:r>
      <w:r>
        <w:rPr>
          <w:u w:val="double"/>
        </w:rPr>
        <w:t>{a}</w:t>
      </w:r>
      <w:r>
        <w:rPr/>
        <w:t xml:space="preserve"> Transaction (as may be evidenced by a confirmation thereof, if any, together with the Long Product Definitions) and this GTC or any master agreement that may govern </w:t>
      </w:r>
      <w:r>
        <w:rPr>
          <w:strike/>
        </w:rPr>
        <w:t>{the}</w:t>
      </w:r>
      <w:r>
        <w:rPr/>
        <w:t xml:space="preserve"> </w:t>
      </w:r>
      <w:r>
        <w:rPr>
          <w:u w:val="double"/>
        </w:rPr>
        <w:t>{a}</w:t>
      </w:r>
      <w:r>
        <w:rPr/>
        <w:t xml:space="preserve"> Transaction as set forth in the preceding sentence, the terms of the Transaction shall govern.    </w:t>
      </w:r>
      <w:r>
        <w:rPr>
          <w:b/>
          <w:u w:val="double"/>
        </w:rPr>
        <w:t>{[}</w:t>
      </w:r>
      <w:r>
        <w:rPr>
          <w:b/>
        </w:rPr>
        <w:t xml:space="preserve">In entering into </w:t>
      </w:r>
      <w:r>
        <w:rPr>
          <w:b/>
          <w:strike/>
        </w:rPr>
        <w:t>{this}</w:t>
      </w:r>
      <w:r>
        <w:rPr>
          <w:b/>
        </w:rPr>
        <w:t xml:space="preserve"> </w:t>
      </w:r>
      <w:r>
        <w:rPr>
          <w:b/>
          <w:u w:val="double"/>
        </w:rPr>
        <w:t>{a}</w:t>
      </w:r>
      <w:r>
        <w:rPr>
          <w:b/>
        </w:rPr>
        <w:t xml:space="preserve"> Transaction</w:t>
      </w:r>
      <w:r>
        <w:rPr>
          <w:b/>
          <w:u w:val="double"/>
        </w:rPr>
        <w:t>{,}</w:t>
      </w:r>
      <w:r>
        <w:rPr>
          <w:b/>
        </w:rPr>
        <w:t xml:space="preserve"> UBS is acting through the branch specified in the Long Product Definitions or in any applicable Transaction.    Notwithstanding the place of booking office or jurisdiction of incorporation or organization of such branch, the obligations of UBS are the same as if UBS had entered into the Transaction through its head or home office.</w:t>
      </w:r>
      <w:r>
        <w:rPr>
          <w:b/>
          <w:u w:val="double"/>
        </w:rPr>
        <w:t>{]</w:t>
      </w:r>
      <w:r>
        <w:rPr/>
        <w:t xml:space="preserve">    </w:t>
      </w:r>
      <w:r>
        <w:rPr>
          <w:b/>
          <w:u w:val="double"/>
        </w:rPr>
        <w:t>[Note:    Is this applicable to Canada?]</w:t>
      </w:r>
      <w:r>
        <w:rPr>
          <w:u w:val="double"/>
        </w:rPr>
        <w:t>}</w:t>
      </w:r>
    </w:p>
    <w:p>
      <w:pPr>
        <w:pStyle w:val="Sharon1"/>
        <w:bidi w:val="0"/>
        <w:rPr/>
      </w:pPr>
      <w:r>
        <w:rPr>
          <w:b/>
        </w:rPr>
        <w:t>2.</w:t>
        <w:tab/>
      </w:r>
      <w:bookmarkStart w:id="0" w:name="_Ref601401"/>
      <w:r>
        <w:rPr>
          <w:b/>
          <w:u w:val="single"/>
        </w:rPr>
        <w:t>Quantity Obligations, Liquidated Damages and Transaction Termination</w:t>
      </w:r>
      <w:r>
        <w:rPr/>
        <w:t xml:space="preserve">.    The </w:t>
      </w:r>
      <w:r>
        <w:rPr>
          <w:b/>
        </w:rPr>
        <w:t>Daily Contract Quantity</w:t>
      </w:r>
      <w:r>
        <w:rPr/>
        <w:t xml:space="preserve"> (</w:t>
      </w:r>
      <w:r>
        <w:rPr>
          <w:i/>
        </w:rPr>
        <w:t>Volume</w:t>
      </w:r>
      <w:r>
        <w:rPr/>
        <w:t xml:space="preserve">) shall be scheduled </w:t>
      </w:r>
      <w:r>
        <w:rPr>
          <w:u w:val="double"/>
        </w:rPr>
        <w:t xml:space="preserve">{or nominated </w:t>
      </w:r>
      <w:r>
        <w:rPr>
          <w:b/>
          <w:u w:val="double"/>
        </w:rPr>
        <w:t>[Note:    the concept of nomination is more consistent with the gas industry, at least for Canada]}</w:t>
      </w:r>
      <w:r>
        <w:rPr/>
        <w:t xml:space="preserve"> on a firm basis by </w:t>
      </w:r>
      <w:r>
        <w:rPr>
          <w:b/>
        </w:rPr>
        <w:t>Seller</w:t>
      </w:r>
      <w:r>
        <w:rPr/>
        <w:t xml:space="preserve"> and </w:t>
      </w:r>
      <w:r>
        <w:rPr>
          <w:b/>
        </w:rPr>
        <w:t>Buyer</w:t>
      </w:r>
      <w:r>
        <w:rPr/>
        <w:t xml:space="preserve"> </w:t>
      </w:r>
      <w:r>
        <w:rPr>
          <w:u w:val="double"/>
        </w:rPr>
        <w:t>{for delivery and receipt}</w:t>
      </w:r>
      <w:r>
        <w:rPr/>
        <w:t xml:space="preserve"> at the </w:t>
      </w:r>
      <w:r>
        <w:rPr>
          <w:b/>
        </w:rPr>
        <w:t>Delivery Point(s)</w:t>
      </w:r>
      <w:r>
        <w:rPr/>
        <w:t xml:space="preserve"> (</w:t>
      </w:r>
      <w:r>
        <w:rPr>
          <w:i/>
        </w:rPr>
        <w:t>Location</w:t>
      </w:r>
      <w:r>
        <w:rPr/>
        <w:t xml:space="preserve">) during the </w:t>
      </w:r>
      <w:r>
        <w:rPr>
          <w:b/>
        </w:rPr>
        <w:t>Period of Delivery</w:t>
      </w:r>
      <w:r>
        <w:rPr/>
        <w:t xml:space="preserve"> (</w:t>
      </w:r>
      <w:r>
        <w:rPr>
          <w:i/>
        </w:rPr>
        <w:t>Reference Period, being the Effective Date through the Termination Date as set forth in the Long Product Definitions</w:t>
      </w:r>
      <w:r>
        <w:rPr/>
        <w:t xml:space="preserve">) and at the </w:t>
      </w:r>
      <w:r>
        <w:rPr>
          <w:b/>
        </w:rPr>
        <w:t>Contract Price</w:t>
      </w:r>
      <w:r>
        <w:rPr/>
        <w:t xml:space="preserve"> (</w:t>
      </w:r>
      <w:r>
        <w:rPr>
          <w:i/>
        </w:rPr>
        <w:t>Price</w:t>
      </w:r>
      <w:r>
        <w:rPr/>
        <w:t xml:space="preserve">) as such terms are designated in each Transaction (italicized terminology is shown on the Website).    Unless excused by Force Majeure or the other party's failure to perform its obligations hereunder, if on any day a party fails to schedule </w:t>
      </w:r>
      <w:r>
        <w:rPr>
          <w:u w:val="double"/>
        </w:rPr>
        <w:t>{or nominate}</w:t>
      </w:r>
      <w:r>
        <w:rPr/>
        <w:t xml:space="preserve"> on a firm basis the Daily Contract Quantity, then such occurrence shall constitute a "</w:t>
      </w:r>
      <w:r>
        <w:rPr>
          <w:u w:val="single"/>
        </w:rPr>
        <w:t>Deficiency Breach</w:t>
      </w:r>
      <w:r>
        <w:rPr/>
        <w:t>" and the "</w:t>
      </w:r>
      <w:r>
        <w:rPr>
          <w:u w:val="single"/>
        </w:rPr>
        <w:t>Deficiency Quantity</w:t>
      </w:r>
      <w:r>
        <w:rPr/>
        <w:t xml:space="preserve">" shall be the </w:t>
      </w:r>
      <w:r>
        <w:rPr>
          <w:strike/>
        </w:rPr>
        <w:t>{numerical difference between the Daily Contract Quantity and the amount of gas scheduled}</w:t>
      </w:r>
      <w:r>
        <w:rPr/>
        <w:t xml:space="preserve"> </w:t>
      </w:r>
      <w:r>
        <w:rPr>
          <w:u w:val="double"/>
        </w:rPr>
        <w:t>{amount of such deficiency}</w:t>
      </w:r>
      <w:r>
        <w:rPr/>
        <w:t xml:space="preserve">.    Upon a Deficiency Breach, the party failing to </w:t>
      </w:r>
      <w:r>
        <w:rPr>
          <w:u w:val="double"/>
        </w:rPr>
        <w:t>{so}</w:t>
      </w:r>
      <w:r>
        <w:rPr/>
        <w:t xml:space="preserve"> schedule </w:t>
      </w:r>
      <w:r>
        <w:rPr>
          <w:strike/>
        </w:rPr>
        <w:t>{the Deficiency}</w:t>
      </w:r>
      <w:r>
        <w:rPr/>
        <w:t xml:space="preserve"> </w:t>
      </w:r>
      <w:r>
        <w:rPr>
          <w:u w:val="double"/>
        </w:rPr>
        <w:t>{or nominate the Daily Contract}</w:t>
      </w:r>
      <w:r>
        <w:rPr/>
        <w:t xml:space="preserve"> Quantity shall pay to the other party</w:t>
      </w:r>
      <w:r>
        <w:rPr>
          <w:u w:val="double"/>
        </w:rPr>
        <w:t>{, as liquidated damages,}</w:t>
      </w:r>
      <w:r>
        <w:rPr/>
        <w:t xml:space="preserve"> an amount equal to the </w:t>
      </w:r>
      <w:r>
        <w:rPr>
          <w:u w:val="single"/>
        </w:rPr>
        <w:t>sum</w:t>
      </w:r>
      <w:r>
        <w:rPr/>
        <w:t xml:space="preserve"> of </w:t>
      </w:r>
      <w:r>
        <w:rPr>
          <w:u w:val="double"/>
        </w:rPr>
        <w:t>{(i)}</w:t>
      </w:r>
      <w:r>
        <w:rPr/>
        <w:t xml:space="preserve"> the product of the Deficiency Quantity multiplied by the Replacement Price Differential </w:t>
      </w:r>
      <w:r>
        <w:rPr>
          <w:u w:val="single"/>
        </w:rPr>
        <w:t>plus</w:t>
      </w:r>
      <w:r>
        <w:rPr/>
        <w:t xml:space="preserve"> </w:t>
      </w:r>
      <w:r>
        <w:rPr>
          <w:u w:val="double"/>
        </w:rPr>
        <w:t>{(ii)}</w:t>
      </w:r>
      <w:r>
        <w:rPr/>
        <w:t xml:space="preserve"> $0.15 </w:t>
      </w:r>
      <w:r>
        <w:rPr>
          <w:u w:val="single"/>
        </w:rPr>
        <w:t>multiplied by</w:t>
      </w:r>
      <w:r>
        <w:rPr/>
        <w:t xml:space="preserve"> the Deficiency Quantity </w:t>
      </w:r>
      <w:r>
        <w:rPr>
          <w:u w:val="double"/>
        </w:rPr>
        <w:t>{plus</w:t>
      </w:r>
      <w:r>
        <w:rPr/>
        <w:t xml:space="preserve"> </w:t>
      </w:r>
      <w:r>
        <w:rPr>
          <w:u w:val="double"/>
        </w:rPr>
        <w:t>(iii) all pipeline, transportation or imbalance charges or penalties incurred}</w:t>
      </w:r>
      <w:r>
        <w:rPr/>
        <w:t xml:space="preserve">.    All amounts payable pursuant to this </w:t>
      </w:r>
      <w:r>
        <w:rPr>
          <w:u w:val="single"/>
        </w:rPr>
        <w:t xml:space="preserve">Section </w:t>
      </w:r>
      <w:r>
        <w:rPr>
          <w:u w:val="single"/>
        </w:rPr>
        <w:fldChar w:fldCharType="begin"/>
      </w:r>
      <w:r>
        <w:rPr>
          <w:u w:val="single"/>
        </w:rPr>
        <w:instrText xml:space="preserve"> REF _Ref601401 \r \r \h </w:instrText>
      </w:r>
      <w:r>
        <w:rPr>
          <w:u w:val="single"/>
        </w:rPr>
        <w:fldChar w:fldCharType="separate"/>
      </w:r>
      <w:r>
        <w:rPr>
          <w:u w:val="single"/>
        </w:rPr>
      </w:r>
      <w:r>
        <w:rPr>
          <w:u w:val="single"/>
        </w:rPr>
        <w:fldChar w:fldCharType="end"/>
      </w:r>
      <w:r>
        <w:rPr/>
        <w:t xml:space="preserve"> shall be due and payable within five Business Days following </w:t>
      </w:r>
      <w:r>
        <w:rPr>
          <w:strike/>
        </w:rPr>
        <w:t>{the}</w:t>
      </w:r>
      <w:r>
        <w:rPr/>
        <w:t xml:space="preserve"> receipt of a statement therefor, which amounts shall accrue interest at the Interest Rate from the date due until paid.    In addition to the foregoing, if a party fails to schedule </w:t>
      </w:r>
      <w:r>
        <w:rPr>
          <w:u w:val="double"/>
        </w:rPr>
        <w:t>{or nominate}</w:t>
      </w:r>
      <w:r>
        <w:rPr/>
        <w:t xml:space="preserve"> the Daily Contract Quantity for a cumulative period of 15 or more days in a </w:t>
      </w:r>
      <w:r>
        <w:rPr>
          <w:strike/>
        </w:rPr>
        <w:t>{12 month}</w:t>
      </w:r>
      <w:r>
        <w:rPr/>
        <w:t xml:space="preserve"> </w:t>
      </w:r>
      <w:r>
        <w:rPr>
          <w:u w:val="double"/>
        </w:rPr>
        <w:t>{365-day}</w:t>
      </w:r>
      <w:r>
        <w:rPr/>
        <w:t xml:space="preserve"> period in </w:t>
      </w:r>
      <w:r>
        <w:rPr>
          <w:u w:val="double"/>
        </w:rPr>
        <w:t>{respect of}</w:t>
      </w:r>
      <w:r>
        <w:rPr/>
        <w:t xml:space="preserve"> any one Transaction</w:t>
      </w:r>
      <w:r>
        <w:rPr>
          <w:u w:val="double"/>
        </w:rPr>
        <w:t>{,}</w:t>
      </w:r>
      <w:r>
        <w:rPr/>
        <w:t xml:space="preserve"> unless excused by Force Majeure or the other party's failure to perform its obligations hereunder (a "</w:t>
      </w:r>
      <w:r>
        <w:rPr>
          <w:u w:val="single"/>
        </w:rPr>
        <w:t>Major Scheduling Event</w:t>
      </w:r>
      <w:r>
        <w:rPr/>
        <w:t>"), the other party may at its election</w:t>
      </w:r>
      <w:r>
        <w:rPr>
          <w:u w:val="double"/>
        </w:rPr>
        <w:t>{,}</w:t>
      </w:r>
      <w:r>
        <w:rPr/>
        <w:t xml:space="preserve"> made by written notice provided no later than 60 days after the occurrence of such Major Scheduling Event, designate an Early Termination Date in accordance with the provisions of </w:t>
      </w:r>
      <w:r>
        <w:rPr>
          <w:u w:val="single"/>
        </w:rPr>
        <w:t xml:space="preserve">Section </w:t>
      </w:r>
      <w:r>
        <w:rPr>
          <w:u w:val="single"/>
        </w:rPr>
        <w:fldChar w:fldCharType="begin"/>
      </w:r>
      <w:r>
        <w:rPr>
          <w:u w:val="single"/>
        </w:rPr>
        <w:instrText xml:space="preserve"> REF _Ref599186 \r \r \h </w:instrText>
      </w:r>
      <w:r>
        <w:rPr>
          <w:u w:val="single"/>
        </w:rPr>
        <w:fldChar w:fldCharType="separate"/>
      </w:r>
      <w:r>
        <w:rPr>
          <w:u w:val="single"/>
        </w:rPr>
      </w:r>
      <w:r>
        <w:rPr>
          <w:u w:val="single"/>
        </w:rPr>
        <w:fldChar w:fldCharType="end"/>
      </w:r>
      <w:r>
        <w:rPr/>
        <w:t xml:space="preserve"> </w:t>
      </w:r>
      <w:r>
        <w:rPr>
          <w:strike/>
        </w:rPr>
        <w:t>{applicable}</w:t>
      </w:r>
      <w:r>
        <w:rPr>
          <w:u w:val="double"/>
        </w:rPr>
        <w:t>{, but in respect}</w:t>
      </w:r>
      <w:r>
        <w:rPr/>
        <w:t xml:space="preserve"> only </w:t>
      </w:r>
      <w:r>
        <w:rPr>
          <w:strike/>
        </w:rPr>
        <w:t>{to the}</w:t>
      </w:r>
      <w:r>
        <w:rPr/>
        <w:t xml:space="preserve"> </w:t>
      </w:r>
      <w:r>
        <w:rPr>
          <w:u w:val="double"/>
        </w:rPr>
        <w:t>{of such}</w:t>
      </w:r>
      <w:r>
        <w:rPr/>
        <w:t xml:space="preserve"> Transaction, and such notifying party shall determine the Termination Payment applicable </w:t>
      </w:r>
      <w:r>
        <w:rPr>
          <w:u w:val="double"/>
        </w:rPr>
        <w:t>{only}</w:t>
      </w:r>
      <w:r>
        <w:rPr/>
        <w:t xml:space="preserve"> to </w:t>
      </w:r>
      <w:r>
        <w:rPr>
          <w:strike/>
        </w:rPr>
        <w:t>{the}</w:t>
      </w:r>
      <w:r>
        <w:rPr/>
        <w:t xml:space="preserve"> </w:t>
      </w:r>
      <w:r>
        <w:rPr>
          <w:u w:val="double"/>
        </w:rPr>
        <w:t>{such}</w:t>
      </w:r>
      <w:r>
        <w:rPr/>
        <w:t xml:space="preserve"> Transaction, and the </w:t>
      </w:r>
      <w:r>
        <w:rPr>
          <w:strike/>
        </w:rPr>
        <w:t>{parties}</w:t>
      </w:r>
      <w:r>
        <w:rPr/>
        <w:t xml:space="preserve"> </w:t>
      </w:r>
      <w:r>
        <w:rPr>
          <w:u w:val="double"/>
        </w:rPr>
        <w:t>{other party}</w:t>
      </w:r>
      <w:r>
        <w:rPr/>
        <w:t xml:space="preserve"> shall make payment of the Termination Payment </w:t>
      </w:r>
      <w:r>
        <w:rPr>
          <w:u w:val="double"/>
        </w:rPr>
        <w:t>{for such Transaction,}</w:t>
      </w:r>
      <w:r>
        <w:rPr/>
        <w:t xml:space="preserve"> each in accordance with </w:t>
      </w:r>
      <w:r>
        <w:rPr>
          <w:u w:val="single"/>
        </w:rPr>
        <w:t xml:space="preserve">Section </w:t>
      </w:r>
      <w:r>
        <w:rPr>
          <w:u w:val="single"/>
        </w:rPr>
        <w:fldChar w:fldCharType="begin"/>
      </w:r>
      <w:r>
        <w:rPr>
          <w:u w:val="single"/>
        </w:rPr>
        <w:instrText xml:space="preserve"> REF _Ref599186 \r \r \h </w:instrText>
      </w:r>
      <w:r>
        <w:rPr>
          <w:u w:val="single"/>
        </w:rPr>
        <w:fldChar w:fldCharType="separate"/>
      </w:r>
      <w:r>
        <w:rPr>
          <w:u w:val="single"/>
        </w:rPr>
      </w:r>
      <w:r>
        <w:rPr>
          <w:u w:val="single"/>
        </w:rPr>
        <w:fldChar w:fldCharType="end"/>
      </w:r>
      <w:r>
        <w:rPr/>
        <w:t>.</w:t>
      </w:r>
      <w:bookmarkEnd w:id="0"/>
    </w:p>
    <w:p>
      <w:pPr>
        <w:pStyle w:val="Sharon1"/>
        <w:bidi w:val="0"/>
        <w:rPr/>
      </w:pPr>
      <w:r>
        <w:rPr>
          <w:b/>
        </w:rPr>
        <w:t>3.</w:t>
        <w:tab/>
      </w:r>
      <w:bookmarkStart w:id="1" w:name="_Ref599186"/>
      <w:r>
        <w:rPr>
          <w:b/>
          <w:u w:val="single"/>
        </w:rPr>
        <w:t>Events of Default and Early Termination</w:t>
      </w:r>
      <w:r>
        <w:rPr/>
        <w:t>.    If an Event of Default shall have occurred and shall be continuing</w:t>
      </w:r>
      <w:r>
        <w:rPr>
          <w:u w:val="double"/>
        </w:rPr>
        <w:t>{,}</w:t>
      </w:r>
      <w:r>
        <w:rPr/>
        <w:t xml:space="preserve"> the non-defaulting party may, in its sole discretion, by no more than 20 days notice to the Defaulting Party designate a day no earlier than the day such notice is effective as an early termination date (the "</w:t>
      </w:r>
      <w:r>
        <w:rPr>
          <w:u w:val="single"/>
        </w:rPr>
        <w:t>Early Termination Date</w:t>
      </w:r>
      <w:r>
        <w:rPr/>
        <w:t xml:space="preserve">").    On the Early Termination Date the obligations under all Transactions with respect to all Periods of Delivery </w:t>
      </w:r>
      <w:r>
        <w:rPr>
          <w:strike/>
        </w:rPr>
        <w:t>{that would have ended}</w:t>
      </w:r>
      <w:r>
        <w:rPr>
          <w:u w:val="double"/>
        </w:rPr>
        <w:t>{(or then remaining portions of all Periods of Delivery) occurring}</w:t>
      </w:r>
      <w:r>
        <w:rPr/>
        <w:t xml:space="preserve"> on or after the Early Termination Date shall be terminated.    On</w:t>
      </w:r>
      <w:r>
        <w:rPr>
          <w:u w:val="double"/>
        </w:rPr>
        <w:t>{,}</w:t>
      </w:r>
      <w:r>
        <w:rPr/>
        <w:t xml:space="preserve"> or as soon as reasonably practicable following the occurrence of an Early Termination Date, the non-defaulting party shall in good faith calculate its Gains, Losses and Costs resulting from the termination of </w:t>
      </w:r>
      <w:r>
        <w:rPr>
          <w:strike/>
        </w:rPr>
        <w:t>{the parties' obligations under all }</w:t>
      </w:r>
      <w:r>
        <w:rPr>
          <w:u w:val="double"/>
        </w:rPr>
        <w:t>{all such}</w:t>
      </w:r>
      <w:r>
        <w:rPr/>
        <w:t xml:space="preserve"> Transactions with respect to all </w:t>
      </w:r>
      <w:r>
        <w:rPr>
          <w:u w:val="double"/>
        </w:rPr>
        <w:t>{such}</w:t>
      </w:r>
      <w:r>
        <w:rPr/>
        <w:t xml:space="preserve"> Periods of Delivery</w:t>
      </w:r>
      <w:r>
        <w:rPr>
          <w:strike/>
        </w:rPr>
        <w:t>{, or parts thereof, which would have occurred on or after the Early Termination Date}</w:t>
      </w:r>
      <w:r>
        <w:rPr/>
        <w:t xml:space="preserve"> </w:t>
      </w:r>
      <w:r>
        <w:rPr>
          <w:u w:val="double"/>
        </w:rPr>
        <w:t>{(or then remaining portions of all Periods of Delivery)}</w:t>
      </w:r>
      <w:r>
        <w:rPr/>
        <w:t xml:space="preserve"> had the Early Termination Date not occurred.    The Gains and Losses for each terminated Transaction shall be determined by calculating the amount that would be incurred or realized to replace</w:t>
      </w:r>
      <w:r>
        <w:rPr>
          <w:u w:val="double"/>
        </w:rPr>
        <w:t>{,}</w:t>
      </w:r>
      <w:r>
        <w:rPr/>
        <w:t xml:space="preserve"> or to provide the economic equivalent of </w:t>
      </w:r>
      <w:r>
        <w:rPr>
          <w:strike/>
        </w:rPr>
        <w:t>{the remaining payments or deliveries in respect of that}</w:t>
      </w:r>
      <w:r>
        <w:rPr>
          <w:u w:val="double"/>
        </w:rPr>
        <w:t>{, completed and uninterrupted performance by the parties of each}</w:t>
      </w:r>
      <w:r>
        <w:rPr/>
        <w:t xml:space="preserve">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and </w:t>
      </w:r>
      <w:r>
        <w:rPr>
          <w:strike/>
        </w:rPr>
        <w:t>{receivables hereunder then owed by and to it}</w:t>
      </w:r>
      <w:r>
        <w:rPr/>
        <w:t xml:space="preserve"> </w:t>
      </w:r>
      <w:r>
        <w:rPr>
          <w:u w:val="double"/>
        </w:rPr>
        <w:t>{all unpaid receivables owing to it by the Defaulting Party, and payables owing by it to the Defaulting Party}</w:t>
      </w:r>
      <w:r>
        <w:rPr/>
        <w:t xml:space="preserve">, with respect to all </w:t>
      </w:r>
      <w:r>
        <w:rPr>
          <w:u w:val="double"/>
        </w:rPr>
        <w:t>{terminated}</w:t>
      </w:r>
      <w:r>
        <w:rPr/>
        <w:t xml:space="preserve"> Transactions into a single net amount and notify the Defaulting Party of the net amount owed or owing (the "</w:t>
      </w:r>
      <w:r>
        <w:rPr>
          <w:u w:val="single"/>
        </w:rPr>
        <w:t>Termination Payment</w:t>
      </w:r>
      <w:r>
        <w:rPr/>
        <w:t xml:space="preserve">").    If </w:t>
      </w:r>
      <w:r>
        <w:rPr>
          <w:strike/>
        </w:rPr>
        <w:t>{the}</w:t>
      </w:r>
      <w:r>
        <w:rPr>
          <w:u w:val="double"/>
        </w:rPr>
        <w:t>{(i) the}</w:t>
      </w:r>
      <w:r>
        <w:rPr/>
        <w:t xml:space="preserve"> non-defaulting party's aggregate Losses and Costs and receivables </w:t>
      </w:r>
      <w:r>
        <w:rPr>
          <w:strike/>
        </w:rPr>
        <w:t>{hereunder}</w:t>
      </w:r>
      <w:r>
        <w:rPr/>
        <w:t xml:space="preserve"> owed to it </w:t>
      </w:r>
      <w:r>
        <w:rPr>
          <w:u w:val="double"/>
        </w:rPr>
        <w:t>{by the Defaulting Party}</w:t>
      </w:r>
      <w:r>
        <w:rPr/>
        <w:t xml:space="preserve"> exceed </w:t>
      </w:r>
      <w:r>
        <w:rPr>
          <w:strike/>
        </w:rPr>
        <w:t>{its}</w:t>
      </w:r>
      <w:r>
        <w:rPr>
          <w:u w:val="double"/>
        </w:rPr>
        <w:t>{(ii) its}</w:t>
      </w:r>
      <w:r>
        <w:rPr/>
        <w:t xml:space="preserve"> aggregate Gains and </w:t>
      </w:r>
      <w:r>
        <w:rPr>
          <w:strike/>
        </w:rPr>
        <w:t>{receivables hereunder}</w:t>
      </w:r>
      <w:r>
        <w:rPr/>
        <w:t xml:space="preserve"> </w:t>
      </w:r>
      <w:r>
        <w:rPr>
          <w:u w:val="double"/>
        </w:rPr>
        <w:t>{payables}</w:t>
      </w:r>
      <w:r>
        <w:rPr/>
        <w:t xml:space="preserve"> owed by it </w:t>
      </w:r>
      <w:r>
        <w:rPr>
          <w:u w:val="double"/>
        </w:rPr>
        <w:t>{to the Defaulting Party}</w:t>
      </w:r>
      <w:r>
        <w:rPr/>
        <w:t xml:space="preserve">, the Defaulting Party shall, within five Business Days of receipt of such notice, pay the Termination Payment to the non-defaulting party, which Termination Payment shall accrue interest at the Interest Rate from the Early Termination Date until </w:t>
      </w:r>
      <w:r>
        <w:rPr>
          <w:u w:val="double"/>
        </w:rPr>
        <w:t>{fully}</w:t>
      </w:r>
      <w:r>
        <w:rPr/>
        <w:t xml:space="preserve"> paid.    If </w:t>
      </w:r>
      <w:r>
        <w:rPr>
          <w:strike/>
        </w:rPr>
        <w:t>{the}</w:t>
      </w:r>
      <w:r>
        <w:rPr>
          <w:u w:val="double"/>
        </w:rPr>
        <w:t>{(i) the}</w:t>
      </w:r>
      <w:r>
        <w:rPr/>
        <w:t xml:space="preserve"> non-defaulting party's aggregate Gains and </w:t>
      </w:r>
      <w:r>
        <w:rPr>
          <w:strike/>
        </w:rPr>
        <w:t>{receivables hereunder owed by it exceed its}</w:t>
      </w:r>
      <w:r>
        <w:rPr/>
        <w:t xml:space="preserve"> </w:t>
      </w:r>
      <w:r>
        <w:rPr>
          <w:u w:val="double"/>
        </w:rPr>
        <w:t>{payables owed by it to the Defaulting Party exceed (ii) its aggregate}</w:t>
      </w:r>
      <w:r>
        <w:rPr/>
        <w:t xml:space="preserve"> Losses and Costs and receivables </w:t>
      </w:r>
      <w:r>
        <w:rPr>
          <w:strike/>
        </w:rPr>
        <w:t>{hereunder}</w:t>
      </w:r>
      <w:r>
        <w:rPr/>
        <w:t xml:space="preserve"> owed to it </w:t>
      </w:r>
      <w:r>
        <w:rPr>
          <w:u w:val="double"/>
        </w:rPr>
        <w:t>{by the Defaulting Party}</w:t>
      </w:r>
      <w:r>
        <w:rPr/>
        <w:t xml:space="preserve">, subject to the rights of setoff set forth in </w:t>
      </w:r>
      <w:r>
        <w:rPr>
          <w:u w:val="single"/>
        </w:rPr>
        <w:t xml:space="preserve">Section </w:t>
      </w:r>
      <w:r>
        <w:rPr>
          <w:u w:val="single"/>
        </w:rPr>
        <w:fldChar w:fldCharType="begin"/>
      </w:r>
      <w:r>
        <w:rPr>
          <w:u w:val="single"/>
        </w:rPr>
        <w:instrText xml:space="preserve"> REF _Ref535731497 \r \r \h </w:instrText>
      </w:r>
      <w:r>
        <w:rPr>
          <w:u w:val="single"/>
        </w:rPr>
        <w:fldChar w:fldCharType="separate"/>
      </w:r>
      <w:r>
        <w:rPr>
          <w:u w:val="single"/>
        </w:rPr>
      </w:r>
      <w:r>
        <w:rPr>
          <w:u w:val="single"/>
        </w:rPr>
        <w:fldChar w:fldCharType="end"/>
      </w:r>
      <w:r>
        <w:rPr/>
        <w:t xml:space="preserve">, the non-defaulting party shall pay the Termination Payment to the Defaulting Party within five Business Days of such determination.    </w:t>
      </w:r>
      <w:r>
        <w:rPr>
          <w:b/>
          <w:u w:val="double"/>
        </w:rPr>
        <w:t>{[Note:    Consider provision allowing Defaulting Party to calculate if the non-defaulting party does not do so within some period of time, especially as the non-defaulting party may not be so inclined if non-defaulting party owes payment to Defaulting Party.]}</w:t>
      </w:r>
      <w:r>
        <w:rPr/>
        <w:t>    In addition to all other amounts payable hereunder, the Defaulting Party shall reimburse the non-defaulting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bookmarkEnd w:id="1"/>
    </w:p>
    <w:p>
      <w:pPr>
        <w:pStyle w:val="Sharon1"/>
        <w:bidi w:val="0"/>
        <w:rPr/>
      </w:pPr>
      <w:r>
        <w:rPr>
          <w:b/>
        </w:rPr>
        <w:t>4.</w:t>
        <w:tab/>
      </w:r>
      <w:r>
        <w:rPr>
          <w:b/>
          <w:u w:val="single"/>
        </w:rPr>
        <w:t>Force Majeure</w:t>
      </w:r>
      <w:r>
        <w:rPr/>
        <w:t>. Except with respect to payment obligations, in the event either party is rendered unable, wholly or in part, by Force Majeure to carry out its obligations under a Transaction, it is agreed that</w:t>
      </w:r>
      <w:r>
        <w:rPr>
          <w:u w:val="double"/>
        </w:rPr>
        <w:t>{,}</w:t>
      </w:r>
      <w:r>
        <w:rPr/>
        <w:t xml:space="preserve"> upon such party's giving notice of such Force Majeure to the other party as soon as reasonably possible (to be confirmed in writing), the obligations of such party, </w:t>
      </w:r>
      <w:r>
        <w:rPr>
          <w:u w:val="double"/>
        </w:rPr>
        <w:t>{but}</w:t>
      </w:r>
      <w:r>
        <w:rPr/>
        <w:t xml:space="preserve"> to the extent they are affected by such event, shall be suspended from the inception and during the continuance of the Force Majeure.    The cause of the Force Majeure shall be remedied with all reasonable dispatch by the party claiming same (the "</w:t>
      </w:r>
      <w:r>
        <w:rPr>
          <w:u w:val="single"/>
        </w:rPr>
        <w:t>Claiming Party</w:t>
      </w:r>
      <w:r>
        <w:rPr/>
        <w:t xml:space="preserve">").    No provision herein shall require or permit either party to schedule </w:t>
      </w:r>
      <w:r>
        <w:rPr>
          <w:u w:val="double"/>
        </w:rPr>
        <w:t>{or nominate}</w:t>
      </w:r>
      <w:r>
        <w:rPr/>
        <w:t xml:space="preserve"> gas in excess of the Daily Contract Quantity or at points other than the Delivery Point(s).    The non-claiming party may immediately take such action as it deems necessary </w:t>
      </w:r>
      <w:r>
        <w:rPr>
          <w:u w:val="double"/>
        </w:rPr>
        <w:t>{to mitigate the effects of such Force Majeure on it}</w:t>
      </w:r>
      <w:r>
        <w:rPr/>
        <w:t xml:space="preserve"> at its expense</w:t>
      </w:r>
      <w:r>
        <w:rPr>
          <w:u w:val="double"/>
        </w:rPr>
        <w:t>{,}</w:t>
      </w:r>
      <w:r>
        <w:rPr/>
        <w:t xml:space="preserve"> for </w:t>
      </w:r>
      <w:r>
        <w:rPr>
          <w:strike/>
        </w:rPr>
        <w:t>{a period of}</w:t>
      </w:r>
      <w:r>
        <w:rPr/>
        <w:t xml:space="preserve"> up to 60 days from the inception of the Force Majeure</w:t>
      </w:r>
      <w:r>
        <w:rPr>
          <w:u w:val="double"/>
        </w:rPr>
        <w:t>{, and for recurring periods of up to 60 days to the extent the Force Majeure has not ceased, in whole or in part, as at the end of any such 60-day period,}</w:t>
      </w:r>
      <w:r>
        <w:rPr/>
        <w:t xml:space="preserve"> and the non-claiming party shall not be required to resume its obligations to the Claiming Party with respect to </w:t>
      </w:r>
      <w:r>
        <w:rPr>
          <w:strike/>
        </w:rPr>
        <w:t>{the}</w:t>
      </w:r>
      <w:r>
        <w:rPr/>
        <w:t xml:space="preserve"> </w:t>
      </w:r>
      <w:r>
        <w:rPr>
          <w:u w:val="double"/>
        </w:rPr>
        <w:t>{any}</w:t>
      </w:r>
      <w:r>
        <w:rPr/>
        <w:t xml:space="preserve"> part of the Transaction that the Claiming Party has claimed is subject to Force Majeure during such </w:t>
      </w:r>
      <w:r>
        <w:rPr>
          <w:u w:val="double"/>
        </w:rPr>
        <w:t>{60-day}</w:t>
      </w:r>
      <w:r>
        <w:rPr/>
        <w:t xml:space="preserve"> period.    </w:t>
      </w:r>
      <w:r>
        <w:rPr>
          <w:strike/>
        </w:rPr>
        <w:t>{Notwithstanding the foregoing, as}</w:t>
      </w:r>
      <w:r>
        <w:rPr/>
        <w:t xml:space="preserve"> </w:t>
      </w:r>
      <w:r>
        <w:rPr>
          <w:u w:val="double"/>
        </w:rPr>
        <w:t>{As}</w:t>
      </w:r>
      <w:r>
        <w:rPr/>
        <w:t xml:space="preserve"> soon as all or part of the Force Majeure ceases, the Claiming Party shall notify the non-claiming party </w:t>
      </w:r>
      <w:r>
        <w:rPr>
          <w:strike/>
        </w:rPr>
        <w:t>{who shall have the option to require the Claiming Party to resume all or part of its}</w:t>
      </w:r>
      <w:r>
        <w:rPr/>
        <w:t xml:space="preserve"> </w:t>
      </w:r>
      <w:r>
        <w:rPr>
          <w:u w:val="double"/>
        </w:rPr>
        <w:t>{and the parties shall resume their}</w:t>
      </w:r>
      <w:r>
        <w:rPr/>
        <w:t xml:space="preserve"> obligations under the Transaction </w:t>
      </w:r>
      <w:r>
        <w:rPr>
          <w:strike/>
        </w:rPr>
        <w:t>{at such time}</w:t>
      </w:r>
      <w:r>
        <w:rPr/>
        <w:t xml:space="preserve"> </w:t>
      </w:r>
      <w:r>
        <w:rPr>
          <w:u w:val="double"/>
        </w:rPr>
        <w:t>{which were affected by the Force Majeure, subject to the right of the non-claiming party to mitigate the effects of the Force Majeure for a period of up to 60 days as aforesaid}</w:t>
      </w:r>
      <w:r>
        <w:rPr/>
        <w:t>.    Notwithstanding the foregoing Force Majeure provisions, should the Force Majeure continue for greater than a period of 60 days from its inception, the non-</w:t>
      </w:r>
      <w:r>
        <w:rPr>
          <w:strike/>
        </w:rPr>
        <w:t>{claiming party}</w:t>
      </w:r>
      <w:r>
        <w:rPr/>
        <w:t xml:space="preserve"> </w:t>
      </w:r>
      <w:r>
        <w:rPr>
          <w:u w:val="double"/>
        </w:rPr>
        <w:t>{Claiming Party}</w:t>
      </w:r>
      <w:r>
        <w:rPr/>
        <w:t xml:space="preserve"> may at its election, prior to the Force Majeure </w:t>
      </w:r>
      <w:r>
        <w:rPr>
          <w:strike/>
        </w:rPr>
        <w:t>{having been remedied by the Claiming Party}</w:t>
      </w:r>
      <w:r>
        <w:rPr/>
        <w:t xml:space="preserve"> </w:t>
      </w:r>
      <w:r>
        <w:rPr>
          <w:u w:val="double"/>
        </w:rPr>
        <w:t>{ceasing}</w:t>
      </w:r>
      <w:r>
        <w:rPr/>
        <w:t xml:space="preserve"> and written notice of such </w:t>
      </w:r>
      <w:r>
        <w:rPr>
          <w:strike/>
        </w:rPr>
        <w:t>{remedy}</w:t>
      </w:r>
      <w:r>
        <w:rPr/>
        <w:t xml:space="preserve"> </w:t>
      </w:r>
      <w:r>
        <w:rPr>
          <w:u w:val="double"/>
        </w:rPr>
        <w:t>{cessation}</w:t>
      </w:r>
      <w:r>
        <w:rPr/>
        <w:t xml:space="preserve"> having been </w:t>
      </w:r>
      <w:r>
        <w:rPr>
          <w:strike/>
        </w:rPr>
        <w:t>{received by}</w:t>
      </w:r>
      <w:r>
        <w:rPr/>
        <w:t xml:space="preserve"> </w:t>
      </w:r>
      <w:r>
        <w:rPr>
          <w:u w:val="double"/>
        </w:rPr>
        <w:t>{delivered to}</w:t>
      </w:r>
      <w:r>
        <w:rPr/>
        <w:t xml:space="preserve"> the non-</w:t>
      </w:r>
      <w:r>
        <w:rPr>
          <w:strike/>
        </w:rPr>
        <w:t>{claiming party from}</w:t>
      </w:r>
      <w:r>
        <w:rPr/>
        <w:t xml:space="preserve"> </w:t>
      </w:r>
      <w:r>
        <w:rPr>
          <w:u w:val="double"/>
        </w:rPr>
        <w:t>{Claiming Party by}</w:t>
      </w:r>
      <w:r>
        <w:rPr/>
        <w:t xml:space="preserve"> the Claiming Party, designate an Early Termination Date in accordance with the provisions of </w:t>
      </w:r>
      <w:r>
        <w:rPr>
          <w:u w:val="single"/>
        </w:rPr>
        <w:t xml:space="preserve">Section </w:t>
      </w:r>
      <w:r>
        <w:rPr>
          <w:u w:val="single"/>
        </w:rPr>
        <w:fldChar w:fldCharType="begin"/>
      </w:r>
      <w:r>
        <w:rPr>
          <w:u w:val="single"/>
        </w:rPr>
        <w:instrText xml:space="preserve"> REF _Ref599186 \r \r \h </w:instrText>
      </w:r>
      <w:r>
        <w:rPr>
          <w:u w:val="single"/>
        </w:rPr>
        <w:fldChar w:fldCharType="separate"/>
      </w:r>
      <w:r>
        <w:rPr>
          <w:u w:val="single"/>
        </w:rPr>
      </w:r>
      <w:r>
        <w:rPr>
          <w:u w:val="single"/>
        </w:rPr>
        <w:fldChar w:fldCharType="end"/>
      </w:r>
      <w:r>
        <w:rPr/>
        <w:t xml:space="preserve"> applicable only to the Transaction, or part thereof</w:t>
      </w:r>
      <w:r>
        <w:rPr>
          <w:u w:val="double"/>
        </w:rPr>
        <w:t>{,}</w:t>
      </w:r>
      <w:r>
        <w:rPr/>
        <w:t xml:space="preserve"> subject to the Force Majeure, and the non-</w:t>
      </w:r>
      <w:r>
        <w:rPr>
          <w:strike/>
        </w:rPr>
        <w:t>{claiming party}</w:t>
      </w:r>
      <w:r>
        <w:rPr/>
        <w:t xml:space="preserve"> </w:t>
      </w:r>
      <w:r>
        <w:rPr>
          <w:u w:val="double"/>
        </w:rPr>
        <w:t>{Claiming Party}</w:t>
      </w:r>
      <w:r>
        <w:rPr/>
        <w:t xml:space="preserve"> shall determine the Termination Payment applicable to the Transaction, or applicable part thereof, and the parties shall make payment of the Termination Payment each in accordance with </w:t>
      </w:r>
      <w:r>
        <w:rPr>
          <w:u w:val="single"/>
        </w:rPr>
        <w:t xml:space="preserve">Section </w:t>
      </w:r>
      <w:r>
        <w:rPr>
          <w:u w:val="single"/>
        </w:rPr>
        <w:fldChar w:fldCharType="begin"/>
      </w:r>
      <w:r>
        <w:rPr>
          <w:u w:val="single"/>
        </w:rPr>
        <w:instrText xml:space="preserve"> REF _Ref599186 \r \r \h </w:instrText>
      </w:r>
      <w:r>
        <w:rPr>
          <w:u w:val="single"/>
        </w:rPr>
        <w:fldChar w:fldCharType="separate"/>
      </w:r>
      <w:r>
        <w:rPr>
          <w:u w:val="single"/>
        </w:rPr>
      </w:r>
      <w:r>
        <w:rPr>
          <w:u w:val="single"/>
        </w:rPr>
        <w:fldChar w:fldCharType="end"/>
      </w:r>
      <w:r>
        <w:rPr/>
        <w:t>.</w:t>
      </w:r>
    </w:p>
    <w:p>
      <w:pPr>
        <w:pStyle w:val="Sharon1"/>
        <w:bidi w:val="0"/>
        <w:rPr/>
      </w:pPr>
      <w:r>
        <w:rPr>
          <w:b/>
        </w:rPr>
        <w:t>5.</w:t>
        <w:tab/>
      </w:r>
      <w:bookmarkStart w:id="2" w:name="_Ref535731497"/>
      <w:r>
        <w:rPr>
          <w:b/>
          <w:strike/>
          <w:u w:val="single"/>
        </w:rPr>
        <w:t>{Setoff}</w:t>
      </w:r>
      <w:r>
        <w:rPr>
          <w:b/>
          <w:u w:val="single"/>
        </w:rPr>
        <w:t xml:space="preserve"> </w:t>
      </w:r>
      <w:r>
        <w:rPr>
          <w:b/>
          <w:u w:val="double"/>
        </w:rPr>
        <w:t>{Set-off</w:t>
      </w:r>
      <w:r>
        <w:rPr>
          <w:u w:val="double"/>
        </w:rPr>
        <w:t>}</w:t>
      </w:r>
      <w:r>
        <w:rPr/>
        <w:t>.    Upon the designation of an Early Termination Date, the non-defaulting party ("</w:t>
      </w:r>
      <w:r>
        <w:rPr>
          <w:u w:val="single"/>
        </w:rPr>
        <w:t>X</w:t>
      </w:r>
      <w:r>
        <w:rPr/>
        <w:t>") may, at its option and in its discretion, setoff, against any amounts Owed to the Defaulting Party ("</w:t>
      </w:r>
      <w:r>
        <w:rPr>
          <w:u w:val="single"/>
        </w:rPr>
        <w:t>Y</w:t>
      </w:r>
      <w:r>
        <w:rPr/>
        <w:t xml:space="preserve">") </w:t>
      </w:r>
      <w:r>
        <w:rPr>
          <w:strike/>
        </w:rPr>
        <w:t>{in Dollars or any other currency}</w:t>
      </w:r>
      <w:r>
        <w:rPr/>
        <w:t xml:space="preserve"> by X or any Affiliate of X under this GTC</w:t>
      </w:r>
      <w:r>
        <w:rPr>
          <w:strike/>
        </w:rPr>
        <w:t>{,}</w:t>
      </w:r>
      <w:r>
        <w:rPr/>
        <w:t xml:space="preserve"> or under any other agreement(s), instrument(s) or undertaking(s), any amounts Owed </w:t>
      </w:r>
      <w:r>
        <w:rPr>
          <w:strike/>
        </w:rPr>
        <w:t>{in Dollars or any other currency}</w:t>
      </w:r>
      <w:r>
        <w:rPr/>
        <w:t xml:space="preserve"> by Y to X or any of X's Affiliates </w:t>
      </w:r>
      <w:r>
        <w:rPr>
          <w:strike/>
        </w:rPr>
        <w:t>{under }</w:t>
      </w:r>
      <w:r>
        <w:rPr>
          <w:u w:val="double"/>
        </w:rPr>
        <w:t>{(irrespective of place of payment or booking office of the obligation) under any Transaction,}</w:t>
      </w:r>
      <w:r>
        <w:rPr/>
        <w:t xml:space="preserve"> this GTC, or under any other agreement(s), instrument(s) or undertaking(s).    The obligations of Y and X under </w:t>
      </w:r>
      <w:r>
        <w:rPr>
          <w:u w:val="double"/>
        </w:rPr>
        <w:t>{any Transaction and}</w:t>
      </w:r>
      <w:r>
        <w:rPr/>
        <w:t xml:space="preserve"> this GTC in respect of such amounts shall be deemed satisfied and discharged to the extent of any such setoff exercised by X and/or </w:t>
      </w:r>
      <w:r>
        <w:rPr>
          <w:strike/>
        </w:rPr>
        <w:t>{X's}</w:t>
      </w:r>
      <w:r>
        <w:rPr/>
        <w:t xml:space="preserve"> </w:t>
      </w:r>
      <w:r>
        <w:rPr>
          <w:u w:val="double"/>
        </w:rPr>
        <w:t>{X’s}</w:t>
      </w:r>
      <w:r>
        <w:rPr/>
        <w:t xml:space="preserve"> Affiliates.    X will give Y notice of any setoff effected under this </w:t>
      </w:r>
      <w:r>
        <w:rPr>
          <w:u w:val="single"/>
        </w:rPr>
        <w:t xml:space="preserve">Section </w:t>
      </w:r>
      <w:r>
        <w:rPr>
          <w:u w:val="single"/>
        </w:rPr>
        <w:fldChar w:fldCharType="begin"/>
      </w:r>
      <w:r>
        <w:rPr>
          <w:u w:val="single"/>
        </w:rPr>
        <w:instrText xml:space="preserve"> REF _Ref535731497 \r \r \h </w:instrText>
      </w:r>
      <w:r>
        <w:rPr>
          <w:u w:val="single"/>
        </w:rPr>
        <w:fldChar w:fldCharType="separate"/>
      </w:r>
      <w:r>
        <w:rPr>
          <w:u w:val="single"/>
        </w:rPr>
      </w:r>
      <w:r>
        <w:rPr>
          <w:u w:val="single"/>
        </w:rPr>
        <w:fldChar w:fldCharType="end"/>
      </w:r>
      <w:r>
        <w:rPr/>
        <w:t xml:space="preserve"> as soon as practicable after the setoff is effected provided that failure to give such notice shall not affect the validity of the setoff.    Amounts subject to the setoff permitted in this </w:t>
      </w:r>
      <w:r>
        <w:rPr>
          <w:u w:val="single"/>
        </w:rPr>
        <w:t xml:space="preserve">Section </w:t>
      </w:r>
      <w:r>
        <w:rPr>
          <w:u w:val="single"/>
        </w:rPr>
        <w:fldChar w:fldCharType="begin"/>
      </w:r>
      <w:r>
        <w:rPr>
          <w:u w:val="single"/>
        </w:rPr>
        <w:instrText xml:space="preserve"> REF _Ref535731497 \r \r \h </w:instrText>
      </w:r>
      <w:r>
        <w:rPr>
          <w:u w:val="single"/>
        </w:rPr>
        <w:fldChar w:fldCharType="separate"/>
      </w:r>
      <w:r>
        <w:rPr>
          <w:u w:val="single"/>
        </w:rPr>
      </w:r>
      <w:r>
        <w:rPr>
          <w:u w:val="single"/>
        </w:rPr>
        <w:fldChar w:fldCharType="end"/>
      </w:r>
      <w:r>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u w:val="single"/>
        </w:rPr>
        <w:t xml:space="preserve">Section </w:t>
      </w:r>
      <w:r>
        <w:rPr>
          <w:u w:val="single"/>
        </w:rPr>
        <w:fldChar w:fldCharType="begin"/>
      </w:r>
      <w:r>
        <w:rPr>
          <w:u w:val="single"/>
        </w:rPr>
        <w:instrText xml:space="preserve"> REF _Ref535731497 \r \r \h </w:instrText>
      </w:r>
      <w:r>
        <w:rPr>
          <w:u w:val="single"/>
        </w:rPr>
        <w:fldChar w:fldCharType="separate"/>
      </w:r>
      <w:r>
        <w:rPr>
          <w:u w:val="single"/>
        </w:rPr>
      </w:r>
      <w:r>
        <w:rPr>
          <w:u w:val="single"/>
        </w:rPr>
        <w:fldChar w:fldCharType="end"/>
      </w:r>
      <w:r>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u w:val="single"/>
        </w:rPr>
        <w:t xml:space="preserve">Section </w:t>
      </w:r>
      <w:r>
        <w:rPr>
          <w:u w:val="single"/>
        </w:rPr>
        <w:fldChar w:fldCharType="begin"/>
      </w:r>
      <w:r>
        <w:rPr>
          <w:u w:val="single"/>
        </w:rPr>
        <w:instrText xml:space="preserve"> REF _Ref535731497 \r \r \h </w:instrText>
      </w:r>
      <w:r>
        <w:rPr>
          <w:u w:val="single"/>
        </w:rPr>
        <w:fldChar w:fldCharType="separate"/>
      </w:r>
      <w:r>
        <w:rPr>
          <w:u w:val="single"/>
        </w:rPr>
      </w:r>
      <w:r>
        <w:rPr>
          <w:u w:val="single"/>
        </w:rPr>
        <w:fldChar w:fldCharType="end"/>
      </w:r>
      <w:r>
        <w:rPr/>
        <w:t xml:space="preserve">, as agent on behalf of its Affiliates, which Affiliates shall receive the benefits of this </w:t>
      </w:r>
      <w:r>
        <w:rPr>
          <w:u w:val="single"/>
        </w:rPr>
        <w:t xml:space="preserve">Section </w:t>
      </w:r>
      <w:r>
        <w:rPr>
          <w:u w:val="single"/>
        </w:rPr>
        <w:fldChar w:fldCharType="begin"/>
      </w:r>
      <w:r>
        <w:rPr>
          <w:u w:val="single"/>
        </w:rPr>
        <w:instrText xml:space="preserve"> REF _Ref535731497 \r \r \h </w:instrText>
      </w:r>
      <w:r>
        <w:rPr>
          <w:u w:val="single"/>
        </w:rPr>
        <w:fldChar w:fldCharType="separate"/>
      </w:r>
      <w:r>
        <w:rPr>
          <w:u w:val="single"/>
        </w:rPr>
      </w:r>
      <w:r>
        <w:rPr>
          <w:u w:val="single"/>
        </w:rPr>
        <w:fldChar w:fldCharType="end"/>
      </w:r>
      <w:r>
        <w:rPr/>
        <w:t xml:space="preserve"> and otherwise be bound as if such Affiliates had entered into this GTC as </w:t>
      </w:r>
      <w:r>
        <w:rPr>
          <w:strike/>
        </w:rPr>
        <w:t>{its}</w:t>
      </w:r>
      <w:r>
        <w:rPr/>
        <w:t xml:space="preserve"> </w:t>
      </w:r>
      <w:r>
        <w:rPr>
          <w:u w:val="double"/>
        </w:rPr>
        <w:t>{it}</w:t>
      </w:r>
      <w:r>
        <w:rPr/>
        <w:t xml:space="preserve"> relates to </w:t>
      </w:r>
      <w:r>
        <w:rPr>
          <w:u w:val="single"/>
        </w:rPr>
        <w:t xml:space="preserve">Section </w:t>
      </w:r>
      <w:r>
        <w:rPr>
          <w:u w:val="double"/>
        </w:rPr>
        <w:fldChar w:fldCharType="begin"/>
      </w:r>
      <w:r>
        <w:rPr>
          <w:u w:val="double"/>
        </w:rPr>
        <w:instrText xml:space="preserve"> REF _Ref599275 \r \r \h </w:instrText>
      </w:r>
      <w:r>
        <w:rPr>
          <w:u w:val="double"/>
        </w:rPr>
        <w:fldChar w:fldCharType="separate"/>
      </w:r>
      <w:r>
        <w:rPr>
          <w:u w:val="double"/>
        </w:rPr>
      </w:r>
      <w:r>
        <w:rPr>
          <w:u w:val="double"/>
        </w:rPr>
        <w:fldChar w:fldCharType="end"/>
      </w:r>
      <w:r>
        <w:rPr>
          <w:u w:val="double"/>
        </w:rPr>
        <w:t>}</w:t>
      </w:r>
      <w:r>
        <w:rPr/>
        <w:t xml:space="preserve">.    Notwithstanding any provision to the contrary contained in this GTC, the non-defaulting party shall not be required to pay to the Defaulting Party any amount under </w:t>
      </w:r>
      <w:r>
        <w:rPr>
          <w:u w:val="single"/>
        </w:rPr>
        <w:t xml:space="preserve">Section </w:t>
      </w:r>
      <w:r>
        <w:rPr>
          <w:u w:val="double"/>
        </w:rPr>
        <w:fldChar w:fldCharType="begin"/>
      </w:r>
      <w:r>
        <w:rPr>
          <w:u w:val="double"/>
        </w:rPr>
        <w:instrText xml:space="preserve"> REF _Ref599275 \r \r \h </w:instrText>
      </w:r>
      <w:r>
        <w:rPr>
          <w:u w:val="double"/>
        </w:rPr>
        <w:fldChar w:fldCharType="separate"/>
      </w:r>
      <w:r>
        <w:rPr>
          <w:u w:val="double"/>
        </w:rPr>
      </w:r>
      <w:r>
        <w:rPr>
          <w:u w:val="double"/>
        </w:rPr>
        <w:fldChar w:fldCharType="end"/>
      </w:r>
      <w:r>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w:t>
      </w:r>
      <w:r>
        <w:rPr>
          <w:strike/>
        </w:rPr>
        <w:t>{,}</w:t>
      </w:r>
      <w:r>
        <w:rPr/>
        <w:t xml:space="preserve"> or any other agreement(s), instrument(s) or undertaking(s), which are Owed as of the Early Termination Date have been fully and finally satisfied.</w:t>
      </w:r>
      <w:bookmarkEnd w:id="2"/>
    </w:p>
    <w:p>
      <w:pPr>
        <w:pStyle w:val="Sharon1"/>
        <w:bidi w:val="0"/>
        <w:rPr/>
      </w:pPr>
      <w:r>
        <w:rPr>
          <w:b/>
        </w:rPr>
        <w:t>6.</w:t>
        <w:tab/>
      </w:r>
      <w:bookmarkStart w:id="3" w:name="_Ref535731644"/>
      <w:bookmarkStart w:id="4" w:name="_Ref601474"/>
      <w:bookmarkStart w:id="5" w:name="_Ref599275"/>
      <w:r>
        <w:rPr>
          <w:b/>
          <w:u w:val="single"/>
        </w:rPr>
        <w:t>Payments and Pricing</w:t>
      </w:r>
      <w:r>
        <w:rPr/>
        <w:t xml:space="preserve">.    By the </w:t>
      </w:r>
      <w:r>
        <w:rPr>
          <w:strike/>
        </w:rPr>
        <w:t>{10th}</w:t>
      </w:r>
      <w:r>
        <w:rPr/>
        <w:t xml:space="preserve"> </w:t>
      </w:r>
      <w:r>
        <w:rPr>
          <w:u w:val="double"/>
        </w:rPr>
        <w:t>{20</w:t>
      </w:r>
      <w:r>
        <w:rPr>
          <w:u w:val="double"/>
          <w:vertAlign w:val="superscript"/>
        </w:rPr>
        <w:t>th</w:t>
      </w:r>
      <w:r>
        <w:rPr/>
        <w:t xml:space="preserve"> </w:t>
      </w:r>
      <w:r>
        <w:rPr>
          <w:b/>
          <w:u w:val="double"/>
        </w:rPr>
        <w:t>[Note:    Canadian gas industry convention]}</w:t>
      </w:r>
      <w:r>
        <w:rPr/>
        <w:t xml:space="preserve"> day of each month</w:t>
      </w:r>
      <w:r>
        <w:rPr>
          <w:u w:val="double"/>
        </w:rPr>
        <w:t>{,}</w:t>
      </w:r>
      <w:r>
        <w:rPr/>
        <w:t xml:space="preserve"> Seller shall provide Buyer a written statement covering the </w:t>
      </w:r>
      <w:r>
        <w:rPr>
          <w:u w:val="double"/>
        </w:rPr>
        <w:t>{quantity of gas delivered, the energy content thereof, the Contract Price, any applicable Taxes and the total amount due for the}</w:t>
      </w:r>
      <w:r>
        <w:rPr/>
        <w:t xml:space="preserve"> preceding month.    Billing and payment will be based on scheduled quantities.    Differences between scheduled quantities and actual quantities delivered </w:t>
      </w:r>
      <w:r>
        <w:rPr>
          <w:b/>
          <w:u w:val="double"/>
        </w:rPr>
        <w:t>{[}</w:t>
      </w:r>
      <w:r>
        <w:rPr>
          <w:b/>
        </w:rPr>
        <w:t xml:space="preserve">and received </w:t>
      </w:r>
      <w:r>
        <w:rPr>
          <w:b/>
          <w:strike/>
        </w:rPr>
        <w:t>{hereunder}</w:t>
      </w:r>
      <w:r>
        <w:rPr>
          <w:b/>
          <w:u w:val="double"/>
        </w:rPr>
        <w:t>{]}</w:t>
      </w:r>
      <w:r>
        <w:rPr/>
        <w:t xml:space="preserve"> will be corrected or settled in cash or gas or by offset as the parties agree.    </w:t>
      </w:r>
      <w:r>
        <w:rPr>
          <w:b/>
          <w:u w:val="double"/>
        </w:rPr>
        <w:t>{[Note:    are not such differences accounted for by the Replacement Price Differential mechanism?]}</w:t>
      </w:r>
      <w:r>
        <w:rPr/>
        <w:t xml:space="preserve">    Within 10 days of the request of either party, the other party shall provide, to the extent it has a legal right of access thereto and/or such statement is then available, a copy of </w:t>
      </w:r>
      <w:r>
        <w:rPr>
          <w:strike/>
        </w:rPr>
        <w:t>{the}</w:t>
      </w:r>
      <w:r>
        <w:rPr/>
        <w:t xml:space="preserve"> </w:t>
      </w:r>
      <w:r>
        <w:rPr>
          <w:u w:val="double"/>
        </w:rPr>
        <w:t>{any}</w:t>
      </w:r>
      <w:r>
        <w:rPr/>
        <w:t xml:space="preserve"> applicable transporter's allocation or imbalance statement for the requested period.    All amounts payable under this </w:t>
      </w:r>
      <w:r>
        <w:rPr>
          <w:u w:val="single"/>
        </w:rPr>
        <w:t xml:space="preserve">Section </w:t>
      </w:r>
      <w:r>
        <w:rPr>
          <w:u w:val="single"/>
        </w:rPr>
        <w:fldChar w:fldCharType="begin"/>
      </w:r>
      <w:r>
        <w:rPr>
          <w:u w:val="single"/>
        </w:rPr>
        <w:instrText xml:space="preserve"> REF _Ref601474 \r \r \h </w:instrText>
      </w:r>
      <w:r>
        <w:rPr>
          <w:u w:val="single"/>
        </w:rPr>
        <w:fldChar w:fldCharType="separate"/>
      </w:r>
      <w:r>
        <w:rPr>
          <w:u w:val="single"/>
        </w:rPr>
      </w:r>
      <w:r>
        <w:rPr>
          <w:u w:val="single"/>
        </w:rPr>
        <w:fldChar w:fldCharType="end"/>
      </w:r>
      <w:r>
        <w:rPr/>
        <w:t xml:space="preserve"> are due by the 25th day of the month in which the statement therefor was received (the "</w:t>
      </w:r>
      <w:r>
        <w:rPr>
          <w:u w:val="single"/>
        </w:rPr>
        <w:t>Payment Date</w:t>
      </w:r>
      <w:r>
        <w:rPr/>
        <w:t>")</w:t>
      </w:r>
      <w:r>
        <w:rPr>
          <w:strike/>
        </w:rPr>
        <w:t>{, which amounts shall accrue interest at the Interest Rate from the Payment Date until paid. If any}</w:t>
      </w:r>
      <w:r>
        <w:rPr>
          <w:u w:val="double"/>
        </w:rPr>
        <w:t>{.    If the due}</w:t>
      </w:r>
      <w:r>
        <w:rPr/>
        <w:t xml:space="preserve"> date for any payment to be made </w:t>
      </w:r>
      <w:r>
        <w:rPr>
          <w:strike/>
        </w:rPr>
        <w:t>{under this GTC}</w:t>
      </w:r>
      <w:r>
        <w:rPr/>
        <w:t xml:space="preserve"> </w:t>
      </w:r>
      <w:r>
        <w:rPr>
          <w:u w:val="double"/>
        </w:rPr>
        <w:t>{hereunder}</w:t>
      </w:r>
      <w:r>
        <w:rPr/>
        <w:t xml:space="preserve"> is not a Business Day, the </w:t>
      </w:r>
      <w:r>
        <w:rPr>
          <w:strike/>
        </w:rPr>
        <w:t>{due date for such payment}</w:t>
      </w:r>
      <w:r>
        <w:rPr/>
        <w:t xml:space="preserve"> </w:t>
      </w:r>
      <w:r>
        <w:rPr>
          <w:u w:val="double"/>
        </w:rPr>
        <w:t>{Payment Date}</w:t>
      </w:r>
      <w:r>
        <w:rPr/>
        <w:t xml:space="preserve"> shall be the </w:t>
      </w:r>
      <w:r>
        <w:rPr>
          <w:strike/>
        </w:rPr>
        <w:t>{following}</w:t>
      </w:r>
      <w:r>
        <w:rPr/>
        <w:t xml:space="preserve"> </w:t>
      </w:r>
      <w:r>
        <w:rPr>
          <w:u w:val="double"/>
        </w:rPr>
        <w:t xml:space="preserve">{closest </w:t>
      </w:r>
      <w:r>
        <w:rPr>
          <w:b/>
          <w:u w:val="double"/>
        </w:rPr>
        <w:t>[Note:    Canadian gas industry convention]}</w:t>
      </w:r>
      <w:r>
        <w:rPr/>
        <w:t xml:space="preserve"> Business Day.    Payment of all funds shall be made by </w:t>
      </w:r>
      <w:r>
        <w:rPr>
          <w:u w:val="double"/>
        </w:rPr>
        <w:t>{cheque or}</w:t>
      </w:r>
      <w:r>
        <w:rPr/>
        <w:t xml:space="preserve"> wire </w:t>
      </w:r>
      <w:r>
        <w:rPr>
          <w:strike/>
        </w:rPr>
        <w:t>{payment}</w:t>
      </w:r>
      <w:r>
        <w:rPr/>
        <w:t xml:space="preserve"> </w:t>
      </w:r>
      <w:r>
        <w:rPr>
          <w:u w:val="double"/>
        </w:rPr>
        <w:t>{transfer}</w:t>
      </w:r>
      <w:r>
        <w:rPr/>
        <w:t xml:space="preserve"> in such manner that </w:t>
      </w:r>
      <w:r>
        <w:rPr>
          <w:strike/>
        </w:rPr>
        <w:t>{U.S.}</w:t>
      </w:r>
      <w:r>
        <w:rPr/>
        <w:t xml:space="preserve"> funds are immediately available to the payee on the applicable due date.    </w:t>
      </w:r>
      <w:r>
        <w:rPr>
          <w:u w:val="double"/>
        </w:rPr>
        <w:t>{Interest on past due amounts shall accrue until fully paid at the Interest Rate.}</w:t>
      </w:r>
      <w:bookmarkEnd w:id="5"/>
      <w:r>
        <w:rPr/>
        <w:t xml:space="preserve">    If UBS and counterparty are each required to pay an amount in the same month </w:t>
      </w:r>
      <w:r>
        <w:rPr>
          <w:strike/>
        </w:rPr>
        <w:t>{pursuant to Transactions under this GTC, or any other transaction for the purchase or sale of gas between the parties}</w:t>
      </w:r>
      <w:r>
        <w:rPr/>
        <w:t xml:space="preserve"> </w:t>
      </w:r>
      <w:r>
        <w:rPr>
          <w:u w:val="double"/>
        </w:rPr>
        <w:t>{under the Transactions on the same Payment Date}</w:t>
      </w:r>
      <w:r>
        <w:rPr/>
        <w:t xml:space="preserve">, then such amounts with respect to each party shall be aggregated and the parties shall discharge their </w:t>
      </w:r>
      <w:r>
        <w:rPr>
          <w:u w:val="double"/>
        </w:rPr>
        <w:t>{payment}</w:t>
      </w:r>
      <w:r>
        <w:rPr/>
        <w:t xml:space="preserve"> obligations </w:t>
      </w:r>
      <w:r>
        <w:rPr>
          <w:strike/>
        </w:rPr>
        <w:t>{to pay}</w:t>
      </w:r>
      <w:r>
        <w:rPr/>
        <w:t xml:space="preserve"> through netting, </w:t>
      </w:r>
      <w:r>
        <w:rPr>
          <w:strike/>
        </w:rPr>
        <w:t>{in which case}</w:t>
      </w:r>
      <w:r>
        <w:rPr/>
        <w:t xml:space="preserve"> </w:t>
      </w:r>
      <w:r>
        <w:rPr>
          <w:u w:val="double"/>
        </w:rPr>
        <w:t>{with}</w:t>
      </w:r>
      <w:r>
        <w:rPr/>
        <w:t xml:space="preserve"> the party owing the greater aggregate amount </w:t>
      </w:r>
      <w:r>
        <w:rPr>
          <w:strike/>
        </w:rPr>
        <w:t>{shall pay}</w:t>
      </w:r>
      <w:r>
        <w:rPr/>
        <w:t xml:space="preserve"> </w:t>
      </w:r>
      <w:r>
        <w:rPr>
          <w:u w:val="double"/>
        </w:rPr>
        <w:t>{paying}</w:t>
      </w:r>
      <w:r>
        <w:rPr/>
        <w:t xml:space="preserve"> to the other party the difference between the amounts owed; provided</w:t>
      </w:r>
      <w:r>
        <w:rPr>
          <w:strike/>
        </w:rPr>
        <w:t>{,}</w:t>
      </w:r>
      <w:r>
        <w:rPr/>
        <w:t xml:space="preserve"> the obligation to net </w:t>
      </w:r>
      <w:r>
        <w:rPr>
          <w:strike/>
        </w:rPr>
        <w:t>{payments}</w:t>
      </w:r>
      <w:r>
        <w:rPr/>
        <w:t xml:space="preserve"> </w:t>
      </w:r>
      <w:r>
        <w:rPr>
          <w:u w:val="double"/>
        </w:rPr>
        <w:t>{payment}</w:t>
      </w:r>
      <w:r>
        <w:rPr/>
        <w:t xml:space="preserve"> shall apply separately to each branch of UBS in respect of Transactions identifying such branch as the branch through which the parties make and receive payments.    </w:t>
      </w:r>
      <w:r>
        <w:rPr>
          <w:b/>
          <w:u w:val="double"/>
        </w:rPr>
        <w:t>{[Note:    applicable to Canada?]}</w:t>
      </w:r>
      <w:r>
        <w:rPr/>
        <w:t xml:space="preserve">    If the price published or announced on a given day and used to determine the </w:t>
      </w:r>
      <w:r>
        <w:rPr>
          <w:strike/>
        </w:rPr>
        <w:t>{Spot Price or the Contract Price }</w:t>
      </w:r>
      <w:r>
        <w:rPr>
          <w:u w:val="double"/>
        </w:rPr>
        <w:t>{Contract Price or the AECO Day Price (or any other published price used to determine a Replacement Price Differential)}</w:t>
      </w:r>
      <w:r>
        <w:rPr/>
        <w:t xml:space="preserv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bookmarkEnd w:id="4"/>
      <w:r>
        <w:rPr/>
        <w:t xml:space="preserve">    If a Market Disruption Event has occurred and is continuing on any day during the Period of Delivery and the </w:t>
      </w:r>
      <w:r>
        <w:rPr>
          <w:strike/>
        </w:rPr>
        <w:t>{Spot Price and/or the Contract Price }</w:t>
      </w:r>
      <w:r>
        <w:rPr>
          <w:u w:val="double"/>
        </w:rPr>
        <w:t>{Contract Price or the AECO Day Price (or any other published price used to determine a Replacement Price Differential)}</w:t>
      </w:r>
      <w:r>
        <w:rPr/>
        <w:t xml:space="preserve"> for such day is not determinable, the </w:t>
      </w:r>
      <w:r>
        <w:rPr>
          <w:strike/>
        </w:rPr>
        <w:t>{Spot Price and/or the Contract Price }</w:t>
      </w:r>
      <w:r>
        <w:rPr>
          <w:u w:val="double"/>
        </w:rPr>
        <w:t>{Contract Price or the AECO Day Price (or any other published price used to determine a Replacement Price Differential)}</w:t>
      </w:r>
      <w:r>
        <w:rPr/>
        <w:t xml:space="preserve"> for such day shall be determined pursuant to the relevant price source specified in this GTC or the Transaction for the first day thereafter on which no Market Disruption Event exists; provided, if the </w:t>
      </w:r>
      <w:r>
        <w:rPr>
          <w:strike/>
        </w:rPr>
        <w:t>{Spot Price and/or the Contract Price }</w:t>
      </w:r>
      <w:r>
        <w:rPr>
          <w:u w:val="double"/>
        </w:rPr>
        <w:t>{Contract Price or the AECO Day Price (or any other published price used to determine a Replacement Price Differential)}</w:t>
      </w:r>
      <w:r>
        <w:rPr/>
        <w:t xml:space="preserve"> is not so determinable within three Business Days after the first day on which the Market Disruption Event occurred or existed, then the parties shall negotiate in good faith to agree upon a </w:t>
      </w:r>
      <w:r>
        <w:rPr>
          <w:strike/>
        </w:rPr>
        <w:t>{Spot Price and/or a Contract Price }</w:t>
      </w:r>
      <w:r>
        <w:rPr>
          <w:u w:val="double"/>
        </w:rPr>
        <w:t>{Contract Price or an AECO Day Price (or any other published price used to determine a Replacement Price Differential)}</w:t>
      </w:r>
      <w:r>
        <w:rPr/>
        <w:t xml:space="preserve"> (or a method for its determination), and if the parties have not so agreed on or before the twelfth Business Day following the first day on which the Market Disruption Event occurred or existed, then the </w:t>
      </w:r>
      <w:r>
        <w:rPr>
          <w:strike/>
        </w:rPr>
        <w:t>{Spot Price and/or the Contract Price }</w:t>
      </w:r>
      <w:r>
        <w:rPr>
          <w:u w:val="double"/>
        </w:rPr>
        <w:t>{Contract Price or the AECO Day Price (or any other published price used to determine a Replacement Price Differential)}</w:t>
      </w:r>
      <w:r>
        <w:rPr/>
        <w:t xml:space="preserve"> shall be determined in good faith by UBS determining the average of two or more bona fide third party quotes.</w:t>
      </w:r>
      <w:bookmarkEnd w:id="3"/>
    </w:p>
    <w:p>
      <w:pPr>
        <w:pStyle w:val="Sharon1"/>
        <w:bidi w:val="0"/>
        <w:rPr/>
      </w:pPr>
      <w:r>
        <w:rPr>
          <w:b/>
        </w:rPr>
        <w:t>7.</w:t>
        <w:tab/>
      </w:r>
      <w:r>
        <w:rPr>
          <w:b/>
          <w:u w:val="single"/>
        </w:rPr>
        <w:t>Taxes</w:t>
      </w:r>
      <w:r>
        <w:rPr/>
        <w:t xml:space="preserve">.    The Contract Price includes full reimbursement for, and Seller shall be liable for and shall pay, or cause to be paid, or reimburse Buyer, if Buyer has paid, all Taxes applicable to the gas sold hereunder upstream of </w:t>
      </w:r>
      <w:r>
        <w:rPr>
          <w:strike/>
        </w:rPr>
        <w:t>{the}</w:t>
      </w:r>
      <w:r>
        <w:rPr/>
        <w:t xml:space="preserve"> </w:t>
      </w:r>
      <w:r>
        <w:rPr>
          <w:u w:val="double"/>
        </w:rPr>
        <w:t>{any}</w:t>
      </w:r>
      <w:r>
        <w:rPr/>
        <w:t xml:space="preserve"> Delivery Point</w:t>
      </w:r>
      <w:r>
        <w:rPr>
          <w:strike/>
        </w:rPr>
        <w:t>{(s)}</w:t>
      </w:r>
      <w:r>
        <w:rPr/>
        <w:t xml:space="preserve">. 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w:t>
      </w:r>
      <w:r>
        <w:rPr>
          <w:strike/>
        </w:rPr>
        <w:t>{the}</w:t>
      </w:r>
      <w:r>
        <w:rPr/>
        <w:t xml:space="preserve"> </w:t>
      </w:r>
      <w:r>
        <w:rPr>
          <w:u w:val="double"/>
        </w:rPr>
        <w:t>{any}</w:t>
      </w:r>
      <w:r>
        <w:rPr/>
        <w:t xml:space="preserve"> Delivery Point</w:t>
      </w:r>
      <w:r>
        <w:rPr>
          <w:strike/>
        </w:rPr>
        <w:t>{(s)}</w:t>
      </w:r>
      <w:r>
        <w:rPr/>
        <w:t xml:space="preserve">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or its guarantor to make a payment hereunder or under any applicable guaranty without any deduction or withholding for or on account of any Tax or with such deduction or withholding at a reduced rate, promptly upon request of the other party.</w:t>
      </w:r>
      <w:r>
        <w:rPr>
          <w:strike/>
        </w:rPr>
        <w:t>{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w:t>
      </w:r>
    </w:p>
    <w:p>
      <w:pPr>
        <w:pStyle w:val="Sharon1"/>
        <w:bidi w:val="0"/>
        <w:rPr/>
      </w:pPr>
      <w:r>
        <w:rPr>
          <w:b/>
        </w:rPr>
        <w:t>8.</w:t>
        <w:tab/>
      </w:r>
      <w:r>
        <w:rPr>
          <w:b/>
          <w:u w:val="single"/>
        </w:rPr>
        <w:t>Title, Risk of Loss and Indemnity</w:t>
      </w:r>
      <w:r>
        <w:rPr/>
        <w:t xml:space="preserve">.    Seller warrants that title to </w:t>
      </w:r>
      <w:r>
        <w:rPr>
          <w:strike/>
        </w:rPr>
        <w:t>{the}</w:t>
      </w:r>
      <w:r>
        <w:rPr/>
        <w:t xml:space="preserve"> </w:t>
      </w:r>
      <w:r>
        <w:rPr>
          <w:u w:val="double"/>
        </w:rPr>
        <w:t>{all}</w:t>
      </w:r>
      <w:r>
        <w:rPr/>
        <w:t xml:space="preserve"> gas is free from all </w:t>
      </w:r>
      <w:r>
        <w:rPr>
          <w:strike/>
        </w:rPr>
        <w:t>{production}</w:t>
      </w:r>
      <w:r>
        <w:rPr/>
        <w:t xml:space="preserve"> burdens, liens and adverse claims and warrants its right </w:t>
      </w:r>
      <w:r>
        <w:rPr>
          <w:u w:val="double"/>
        </w:rPr>
        <w:t>{and title}</w:t>
      </w:r>
      <w:r>
        <w:rPr/>
        <w:t xml:space="preserve"> to sell the same.    As between the parties, Seller shall be deemed to be in exclusive control and possession of the gas </w:t>
      </w:r>
      <w:r>
        <w:rPr>
          <w:strike/>
        </w:rPr>
        <w:t>{scheduled}</w:t>
      </w:r>
      <w:r>
        <w:rPr/>
        <w:t xml:space="preserve"> </w:t>
      </w:r>
      <w:r>
        <w:rPr>
          <w:u w:val="double"/>
        </w:rPr>
        <w:t>{to be sold}</w:t>
      </w:r>
      <w:r>
        <w:rPr/>
        <w:t xml:space="preserve"> hereunder and responsible for any damage or injury caused thereby prior to the time the </w:t>
      </w:r>
      <w:r>
        <w:rPr>
          <w:strike/>
        </w:rPr>
        <w:t>{same}</w:t>
      </w:r>
      <w:r>
        <w:rPr/>
        <w:t xml:space="preserve"> </w:t>
      </w:r>
      <w:r>
        <w:rPr>
          <w:u w:val="double"/>
        </w:rPr>
        <w:t>{gas}</w:t>
      </w:r>
      <w:r>
        <w:rPr/>
        <w:t xml:space="preserve"> shall have been delivered to Buyer.    After delivery of </w:t>
      </w:r>
      <w:r>
        <w:rPr>
          <w:u w:val="double"/>
        </w:rPr>
        <w:t>{the}</w:t>
      </w:r>
      <w:r>
        <w:rPr/>
        <w:t xml:space="preserve"> gas to Buyer at the Delivery Point</w:t>
      </w:r>
      <w:r>
        <w:rPr>
          <w:strike/>
        </w:rPr>
        <w:t>{(s)}</w:t>
      </w:r>
      <w:r>
        <w:rPr/>
        <w:t xml:space="preserve">, Buyer shall be deemed to be in exclusive control and possession thereof and responsible for any injury or damage caused thereby.    </w:t>
      </w:r>
      <w:r>
        <w:rPr>
          <w:strike/>
        </w:rPr>
        <w:t>{Each party assumes all}</w:t>
      </w:r>
      <w:r>
        <w:rPr/>
        <w:t xml:space="preserve"> </w:t>
      </w:r>
      <w:r>
        <w:rPr>
          <w:u w:val="double"/>
        </w:rPr>
        <w:t>{Seller shall be responsible for any costs or charges imposed on or associated with the gas or its delivery to the Delivery Point.    Buyer shall be responsible for any costs or charges imposed on or associated with the gas or its receipt at or removed from the Delivery Point.    Each party assumes full}</w:t>
      </w:r>
      <w:r>
        <w:rPr/>
        <w:t xml:space="preserve"> liability for and shall indemnify, defend and hold harmless the other party from any claims, including </w:t>
      </w:r>
      <w:r>
        <w:rPr>
          <w:u w:val="double"/>
        </w:rPr>
        <w:t>{injury to and}</w:t>
      </w:r>
      <w:r>
        <w:rPr/>
        <w:t xml:space="preserve">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party.    Title to the gas scheduled </w:t>
      </w:r>
      <w:r>
        <w:rPr>
          <w:u w:val="double"/>
        </w:rPr>
        <w:t>{or nominated}</w:t>
      </w:r>
      <w:r>
        <w:rPr/>
        <w:t xml:space="preserve"> hereunder shall pass from Seller to Buyer at the Delivery Point(s).</w:t>
      </w:r>
    </w:p>
    <w:p>
      <w:pPr>
        <w:pStyle w:val="Sharon1"/>
        <w:bidi w:val="0"/>
        <w:rPr>
          <w:b/>
        </w:rPr>
      </w:pPr>
      <w:r>
        <w:rPr>
          <w:b/>
        </w:rPr>
        <w:t>9.</w:t>
        <w:tab/>
      </w:r>
      <w:r>
        <w:rPr>
          <w:b/>
          <w:u w:val="single"/>
        </w:rPr>
        <w:t>Operations and Delivery</w:t>
      </w:r>
      <w:r>
        <w:rPr/>
        <w:t xml:space="preserve">.    Should Buyer desire to change the quantity to be scheduled </w:t>
      </w:r>
      <w:r>
        <w:rPr>
          <w:u w:val="double"/>
        </w:rPr>
        <w:t>{or nominated for receipt by it}</w:t>
      </w:r>
      <w:r>
        <w:rPr/>
        <w:t xml:space="preserve">, Buyer shall provide to Seller facsimile notice thereof not later than one Business Day prior to the earliest nomination deadline of either </w:t>
      </w:r>
      <w:r>
        <w:rPr>
          <w:u w:val="double"/>
        </w:rPr>
        <w:t>{Buyer's or Seller's}</w:t>
      </w:r>
      <w:r>
        <w:rPr/>
        <w:t xml:space="preserve"> transporter for the applicable day.    Scheduling requests to Seller will be accepted at the telephone number provided by Seller to Buyer and shall be confirmed by facsimile.    </w:t>
      </w:r>
      <w:r>
        <w:rPr>
          <w:b/>
          <w:u w:val="double"/>
        </w:rPr>
        <w:t>{[Note:    this seems like a broad exception to the "firm" nature of the obligation.]}</w:t>
      </w:r>
      <w:r>
        <w:rPr/>
        <w:t xml:space="preserve">    Seller shall obtain transportation to </w:t>
      </w:r>
      <w:r>
        <w:rPr>
          <w:strike/>
        </w:rPr>
        <w:t>{the}</w:t>
      </w:r>
      <w:r>
        <w:rPr/>
        <w:t xml:space="preserve"> </w:t>
      </w:r>
      <w:r>
        <w:rPr>
          <w:u w:val="double"/>
        </w:rPr>
        <w:t>{any}</w:t>
      </w:r>
      <w:r>
        <w:rPr/>
        <w:t xml:space="preserve"> Delivery Point</w:t>
      </w:r>
      <w:r>
        <w:rPr>
          <w:strike/>
        </w:rPr>
        <w:t>{(s)}</w:t>
      </w:r>
      <w:r>
        <w:rPr/>
        <w:t xml:space="preserve">, and Buyer shall obtain transportation from </w:t>
      </w:r>
      <w:r>
        <w:rPr>
          <w:strike/>
        </w:rPr>
        <w:t>{the}</w:t>
      </w:r>
      <w:r>
        <w:rPr/>
        <w:t xml:space="preserve"> </w:t>
      </w:r>
      <w:r>
        <w:rPr>
          <w:u w:val="double"/>
        </w:rPr>
        <w:t>{any}</w:t>
      </w:r>
      <w:r>
        <w:rPr/>
        <w:t xml:space="preserve"> Delivery Point</w:t>
      </w:r>
      <w:r>
        <w:rPr>
          <w:strike/>
        </w:rPr>
        <w:t>{(s)}</w:t>
      </w:r>
      <w:r>
        <w:rPr/>
        <w:t xml:space="preserve">.    Seller represents that all scheduled </w:t>
      </w:r>
      <w:r>
        <w:rPr>
          <w:u w:val="double"/>
        </w:rPr>
        <w:t>{or nominated}</w:t>
      </w:r>
      <w:r>
        <w:rPr/>
        <w:t xml:space="preserve"> gas shall meet the specifications of Buyer's transporter. </w:t>
      </w:r>
      <w:r>
        <w:rPr>
          <w:strike/>
        </w:rPr>
        <w:t>{Unless otherwise agreed nothing}</w:t>
      </w:r>
      <w:r>
        <w:rPr/>
        <w:t xml:space="preserve"> </w:t>
      </w:r>
      <w:r>
        <w:rPr>
          <w:u w:val="double"/>
        </w:rPr>
        <w:t>{Nothing}</w:t>
      </w:r>
      <w:r>
        <w:rPr/>
        <w:t xml:space="preserve"> herein, including, without limitation, an event of Force Majeure, shall require or permit either party to schedule </w:t>
      </w:r>
      <w:r>
        <w:rPr>
          <w:u w:val="double"/>
        </w:rPr>
        <w:t>{or nominate}</w:t>
      </w:r>
      <w:r>
        <w:rPr/>
        <w:t xml:space="preserve"> gas at a point other than a Delivery Point or in excess of the </w:t>
      </w:r>
      <w:r>
        <w:rPr>
          <w:strike/>
        </w:rPr>
        <w:t>{Daily Contract Quantity}</w:t>
      </w:r>
      <w:r>
        <w:rPr/>
        <w:t xml:space="preserve"> </w:t>
      </w:r>
      <w:r>
        <w:rPr>
          <w:u w:val="double"/>
        </w:rPr>
        <w:t>{DCQ}</w:t>
      </w:r>
      <w:r>
        <w:rPr/>
        <w:t xml:space="preserve">.    If either party receives an order from a transporter requiring action in connection with a </w:t>
      </w:r>
      <w:r>
        <w:rPr>
          <w:strike/>
        </w:rPr>
        <w:t>{transaction}</w:t>
      </w:r>
      <w:r>
        <w:rPr/>
        <w:t xml:space="preserve"> </w:t>
      </w:r>
      <w:r>
        <w:rPr>
          <w:u w:val="double"/>
        </w:rPr>
        <w:t>{Transaction}</w:t>
      </w:r>
      <w:r>
        <w:rPr/>
        <w:t xml:space="preserve"> (the "</w:t>
      </w:r>
      <w:r>
        <w:rPr>
          <w:u w:val="single"/>
        </w:rPr>
        <w:t>OFO</w:t>
      </w:r>
      <w:r>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r>
        <w:rPr>
          <w:b/>
        </w:rPr>
        <w:t xml:space="preserve">    </w:t>
      </w:r>
      <w:r>
        <w:rPr>
          <w:b/>
          <w:u w:val="double"/>
        </w:rPr>
        <w:t>{[Note: this seems like a broad exception to otherwise narrowly defined Force Majeure.]}</w:t>
      </w:r>
    </w:p>
    <w:p>
      <w:pPr>
        <w:pStyle w:val="Sharon1"/>
        <w:bidi w:val="0"/>
        <w:rPr/>
      </w:pPr>
      <w:r>
        <w:rPr>
          <w:b/>
        </w:rPr>
        <w:t>10.</w:t>
        <w:tab/>
      </w:r>
      <w:r>
        <w:rPr>
          <w:b/>
          <w:u w:val="single"/>
        </w:rPr>
        <w:t>Relationship Between Parties</w:t>
      </w:r>
      <w:r>
        <w:rPr/>
        <w:t xml:space="preserve">.    Each party </w:t>
      </w:r>
      <w:r>
        <w:rPr>
          <w:strike/>
        </w:rPr>
        <w:t>{will be deemed to represent the following}</w:t>
      </w:r>
      <w:r>
        <w:rPr/>
        <w:t xml:space="preserve"> </w:t>
      </w:r>
      <w:r>
        <w:rPr>
          <w:u w:val="double"/>
        </w:rPr>
        <w:t>{confirms and represents}</w:t>
      </w:r>
      <w:r>
        <w:rPr/>
        <w:t xml:space="preserve"> to the other party on each date on which it enters into a Transaction</w:t>
      </w:r>
      <w:r>
        <w:rPr>
          <w:strike/>
        </w:rPr>
        <w:t>{. It}</w:t>
      </w:r>
      <w:r>
        <w:rPr/>
        <w:t xml:space="preserve"> </w:t>
      </w:r>
      <w:r>
        <w:rPr>
          <w:u w:val="double"/>
        </w:rPr>
        <w:t>{that it}</w:t>
      </w:r>
      <w:r>
        <w:rPr/>
        <w:t xml:space="preserve"> is acting for its own account, and it has made its own independent decisions to enter into that Transaction and as to whether that Transaction is appropriate or proper for it based upon its own judgment and upon advice from such </w:t>
      </w:r>
      <w:r>
        <w:rPr>
          <w:strike/>
        </w:rPr>
        <w:t>{advisors}</w:t>
      </w:r>
      <w:r>
        <w:rPr/>
        <w:t xml:space="preserve"> </w:t>
      </w:r>
      <w:r>
        <w:rPr>
          <w:u w:val="double"/>
        </w:rPr>
        <w:t>{of its advisers}</w:t>
      </w:r>
      <w:r>
        <w:rPr/>
        <w:t xml:space="preserve"> as it has deemed necessary</w:t>
      </w:r>
      <w:r>
        <w:rPr>
          <w:strike/>
        </w:rPr>
        <w:t>{. It}</w:t>
      </w:r>
      <w:r>
        <w:rPr>
          <w:u w:val="double"/>
        </w:rPr>
        <w:t>{; it}</w:t>
      </w:r>
      <w:r>
        <w:rPr/>
        <w:t xml:space="preserve"> is not relying on any communication (written or oral) of the other party as investment advice or as a recommendation to enter into that Transaction</w:t>
      </w:r>
      <w:r>
        <w:rPr>
          <w:strike/>
        </w:rPr>
        <w:t>{;}</w:t>
      </w:r>
      <w:r>
        <w:rPr>
          <w:u w:val="double"/>
        </w:rPr>
        <w:t>{,}</w:t>
      </w:r>
      <w:r>
        <w:rPr/>
        <w:t xml:space="preserve"> it being understood that information and explanations related to the terms and conditions of a Transaction shall not be considered investment advice or a recommendation to enter into </w:t>
      </w:r>
      <w:r>
        <w:rPr>
          <w:strike/>
        </w:rPr>
        <w:t>{that}</w:t>
      </w:r>
      <w:r>
        <w:rPr/>
        <w:t xml:space="preserve"> </w:t>
      </w:r>
      <w:r>
        <w:rPr>
          <w:u w:val="double"/>
        </w:rPr>
        <w:t>{any such}</w:t>
      </w:r>
      <w:r>
        <w:rPr/>
        <w:t xml:space="preserve"> Transaction</w:t>
      </w:r>
      <w:r>
        <w:rPr>
          <w:strike/>
        </w:rPr>
        <w:t>{. No}</w:t>
      </w:r>
      <w:r>
        <w:rPr>
          <w:u w:val="double"/>
        </w:rPr>
        <w:t>{; no}</w:t>
      </w:r>
      <w:r>
        <w:rPr/>
        <w:t xml:space="preserve"> communication (written or oral) received from the other party shall be deemed to be an assurance or guarantee as to the expected results of that Transaction</w:t>
      </w:r>
      <w:r>
        <w:rPr>
          <w:strike/>
        </w:rPr>
        <w:t>{. It}</w:t>
      </w:r>
      <w:r>
        <w:rPr>
          <w:u w:val="double"/>
        </w:rPr>
        <w:t>{; it}</w:t>
      </w:r>
      <w:r>
        <w:rPr/>
        <w:t xml:space="preserve"> is capable of assessing the merits of and understanding (on its own behalf or through independent professional advice), and understands and accepts the terms, conditions and risks of </w:t>
      </w:r>
      <w:r>
        <w:rPr>
          <w:strike/>
        </w:rPr>
        <w:t>{that}</w:t>
      </w:r>
      <w:r>
        <w:rPr>
          <w:u w:val="double"/>
        </w:rPr>
        <w:t>{, any such}</w:t>
      </w:r>
      <w:r>
        <w:rPr/>
        <w:t xml:space="preserve"> Transaction</w:t>
      </w:r>
      <w:r>
        <w:rPr>
          <w:strike/>
        </w:rPr>
        <w:t>{. It}</w:t>
      </w:r>
      <w:r>
        <w:rPr>
          <w:u w:val="double"/>
        </w:rPr>
        <w:t>{; it}</w:t>
      </w:r>
      <w:r>
        <w:rPr/>
        <w:t xml:space="preserve"> is </w:t>
      </w:r>
      <w:r>
        <w:rPr>
          <w:strike/>
        </w:rPr>
        <w:t>{also}</w:t>
      </w:r>
      <w:r>
        <w:rPr/>
        <w:t xml:space="preserve"> capable of assuming, and assumes, the risks of </w:t>
      </w:r>
      <w:r>
        <w:rPr>
          <w:strike/>
        </w:rPr>
        <w:t>{that}</w:t>
      </w:r>
      <w:r>
        <w:rPr/>
        <w:t xml:space="preserve"> </w:t>
      </w:r>
      <w:r>
        <w:rPr>
          <w:u w:val="double"/>
        </w:rPr>
        <w:t>{any such}</w:t>
      </w:r>
      <w:r>
        <w:rPr/>
        <w:t xml:space="preserve"> Transaction</w:t>
      </w:r>
      <w:r>
        <w:rPr>
          <w:strike/>
        </w:rPr>
        <w:t>{. The}</w:t>
      </w:r>
      <w:r>
        <w:rPr>
          <w:u w:val="double"/>
        </w:rPr>
        <w:t>{; and the}</w:t>
      </w:r>
      <w:r>
        <w:rPr/>
        <w:t xml:space="preserve"> other party is not acting as a fiduciary for</w:t>
      </w:r>
      <w:r>
        <w:rPr>
          <w:u w:val="double"/>
        </w:rPr>
        <w:t>{,}</w:t>
      </w:r>
      <w:r>
        <w:rPr/>
        <w:t xml:space="preserve"> or an adviser to</w:t>
      </w:r>
      <w:r>
        <w:rPr>
          <w:u w:val="double"/>
        </w:rPr>
        <w:t>{,}</w:t>
      </w:r>
      <w:r>
        <w:rPr/>
        <w:t xml:space="preserve"> it in respect of </w:t>
      </w:r>
      <w:r>
        <w:rPr>
          <w:strike/>
        </w:rPr>
        <w:t>{that}</w:t>
      </w:r>
      <w:r>
        <w:rPr/>
        <w:t xml:space="preserve"> </w:t>
      </w:r>
      <w:r>
        <w:rPr>
          <w:u w:val="double"/>
        </w:rPr>
        <w:t>{any such}</w:t>
      </w:r>
      <w:r>
        <w:rPr/>
        <w:t xml:space="preserve"> Transaction.</w:t>
      </w:r>
    </w:p>
    <w:p>
      <w:pPr>
        <w:pStyle w:val="Sharon1"/>
        <w:bidi w:val="0"/>
        <w:rPr/>
      </w:pPr>
      <w:r>
        <w:rPr>
          <w:b/>
        </w:rPr>
        <w:t>11.</w:t>
        <w:tab/>
      </w:r>
      <w:r>
        <w:rPr>
          <w:b/>
          <w:u w:val="single"/>
        </w:rPr>
        <w:t>Confidentiality</w:t>
      </w:r>
      <w:r>
        <w:rPr/>
        <w:t xml:space="preserve">.    The contents of the Transactions and all other documents relating to this GTC, if any, and any information made available by a party or any guarantor </w:t>
      </w:r>
      <w:r>
        <w:rPr>
          <w:u w:val="double"/>
        </w:rPr>
        <w:t>{or other credit support provider}</w:t>
      </w:r>
      <w:r>
        <w:rPr/>
        <w:t xml:space="preserve"> of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w:t>
      </w:r>
      <w:r>
        <w:rPr>
          <w:strike/>
        </w:rPr>
        <w:t>{, regulatory request}</w:t>
      </w:r>
      <w:r>
        <w:rPr/>
        <w:t xml:space="preserve"> or accounting disclosure rule or standard, </w:t>
      </w:r>
      <w:r>
        <w:rPr>
          <w:u w:val="double"/>
        </w:rPr>
        <w:t>{provided the other party is first given written notice of such requirement with a reasonable opportunity to object to such disclosure in the circumstances,}</w:t>
      </w:r>
      <w:r>
        <w:rPr/>
        <w:t xml:space="preserve"> (iii) as may be obtained from a non-confidential source that disclosed such information in a manner that did not</w:t>
      </w:r>
      <w:r>
        <w:rPr>
          <w:u w:val="double"/>
        </w:rPr>
        <w:t>{, to the knowledge of the disclosing party,}</w:t>
      </w:r>
      <w:r>
        <w:rPr/>
        <w:t xml:space="preserve"> violate its obligations to the non-disclosing party, if any, in making such disclosure,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w:t>
      </w:r>
      <w:r>
        <w:rPr>
          <w:strike/>
        </w:rPr>
        <w:t>{furnished}</w:t>
      </w:r>
      <w:r>
        <w:rPr/>
        <w:t xml:space="preserve"> </w:t>
      </w:r>
      <w:r>
        <w:rPr>
          <w:u w:val="double"/>
        </w:rPr>
        <w:t>{provided}</w:t>
      </w:r>
      <w:r>
        <w:rPr/>
        <w:t xml:space="preserve"> to </w:t>
      </w:r>
      <w:r>
        <w:rPr>
          <w:u w:val="double"/>
        </w:rPr>
        <w:t>{any}</w:t>
      </w:r>
      <w:r>
        <w:rPr/>
        <w:t xml:space="preserve"> gas industry price source publications </w:t>
      </w:r>
      <w:r>
        <w:rPr>
          <w:strike/>
        </w:rPr>
        <w:t>{generally}</w:t>
      </w:r>
      <w:r>
        <w:rPr/>
        <w:t xml:space="preserve"> recognized in the commodities </w:t>
      </w:r>
      <w:r>
        <w:rPr>
          <w:strike/>
        </w:rPr>
        <w:t>{markets}</w:t>
      </w:r>
      <w:r>
        <w:rPr/>
        <w:t xml:space="preserve"> </w:t>
      </w:r>
      <w:r>
        <w:rPr>
          <w:u w:val="double"/>
        </w:rPr>
        <w:t>{market}</w:t>
      </w:r>
      <w:r>
        <w:rPr/>
        <w:t>.</w:t>
      </w:r>
    </w:p>
    <w:p>
      <w:pPr>
        <w:pStyle w:val="Sharon1"/>
        <w:bidi w:val="0"/>
        <w:rPr/>
      </w:pPr>
      <w:r>
        <w:rPr>
          <w:b/>
        </w:rPr>
        <w:t>12.</w:t>
        <w:tab/>
      </w:r>
      <w:r>
        <w:rPr>
          <w:b/>
          <w:u w:val="single"/>
        </w:rPr>
        <w:t>Damages</w:t>
      </w:r>
      <w:r>
        <w:rPr/>
        <w:t xml:space="preserve">.    </w:t>
      </w:r>
      <w:r>
        <w:rPr>
          <w:strike/>
        </w:rPr>
        <w:t>{For breach of any provision for which}</w:t>
      </w:r>
      <w:r>
        <w:rPr/>
        <w:t xml:space="preserve"> </w:t>
      </w:r>
      <w:r>
        <w:rPr>
          <w:u w:val="double"/>
        </w:rPr>
        <w:t>{Whenever}</w:t>
      </w:r>
      <w:r>
        <w:rPr/>
        <w:t xml:space="preserve"> an express remedy or measure of damages is herein provided, such express remedy or measure of damages shall be the sole and exclusive remedy </w:t>
      </w:r>
      <w:r>
        <w:rPr>
          <w:strike/>
        </w:rPr>
        <w:t>{hereunder}</w:t>
      </w:r>
      <w:r>
        <w:rPr/>
        <w:t>, the obligor's liability shall be limited as set forth in such provision</w:t>
      </w:r>
      <w:r>
        <w:rPr>
          <w:u w:val="double"/>
        </w:rPr>
        <w:t>{,}</w:t>
      </w:r>
      <w:r>
        <w:rPr/>
        <w:t xml:space="preserve"> and all other remedies or damages at law or in equity are waived.    If no remedy or measure of damages is expressly herein provided, the obligor's liability shall be limited to direct actual damages only, </w:t>
      </w:r>
      <w:r>
        <w:rPr>
          <w:u w:val="double"/>
        </w:rPr>
        <w:t>{and}</w:t>
      </w:r>
      <w:r>
        <w:rPr/>
        <w:t xml:space="preserve"> such direct actual damages shall be the sole and exclusive remedy </w:t>
      </w:r>
      <w:r>
        <w:rPr>
          <w:strike/>
        </w:rPr>
        <w:t>{hereunder}</w:t>
      </w:r>
      <w:r>
        <w:rPr/>
        <w:t xml:space="preserve"> and all other remedies or damages at law or in equity are waived.    </w:t>
      </w:r>
      <w:r>
        <w:rPr>
          <w:strike/>
        </w:rPr>
        <w:t>{Unless expressly herein provided, neither}</w:t>
      </w:r>
      <w:r>
        <w:rPr/>
        <w:t xml:space="preserve"> </w:t>
      </w:r>
      <w:r>
        <w:rPr>
          <w:u w:val="double"/>
        </w:rPr>
        <w:t>{Neither}</w:t>
      </w:r>
      <w:r>
        <w:rPr/>
        <w:t xml:space="preserve"> party shall </w:t>
      </w:r>
      <w:r>
        <w:rPr>
          <w:u w:val="double"/>
        </w:rPr>
        <w:t>{in any event}</w:t>
      </w:r>
      <w:r>
        <w:rPr/>
        <w:t xml:space="preserve"> be liable for </w:t>
      </w:r>
      <w:r>
        <w:rPr>
          <w:u w:val="double"/>
        </w:rPr>
        <w:t>{any}</w:t>
      </w:r>
      <w:r>
        <w:rPr/>
        <w:t xml:space="preserve">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w:t>
      </w:r>
      <w:r>
        <w:rPr>
          <w:strike/>
        </w:rPr>
        <w:t>{by any transporter for the unauthorized receipt of gas by the other party}</w:t>
      </w:r>
      <w:r>
        <w:rPr/>
        <w:t xml:space="preserve">.    Buyer acknowledges that it has entered into this </w:t>
      </w:r>
      <w:r>
        <w:rPr>
          <w:strike/>
        </w:rPr>
        <w:t>{GTC}</w:t>
      </w:r>
      <w:r>
        <w:rPr/>
        <w:t xml:space="preserve"> </w:t>
      </w:r>
      <w:r>
        <w:rPr>
          <w:u w:val="double"/>
        </w:rPr>
        <w:t>{agreement}</w:t>
      </w:r>
      <w:r>
        <w:rPr/>
        <w:t xml:space="preserve"> and is contracting for the goods to be supplied by Seller based solely upon the express representations and warranties herein and, subject thereto, accepts such goods "as-is" and "with all faults</w:t>
      </w:r>
      <w:r>
        <w:rPr>
          <w:strike/>
        </w:rPr>
        <w:t>{." }</w:t>
      </w:r>
      <w:r>
        <w:rPr>
          <w:u w:val="double"/>
        </w:rPr>
        <w:t>{" and without representation or warranty as to fitness for any purpose. }</w:t>
      </w:r>
    </w:p>
    <w:p>
      <w:pPr>
        <w:pStyle w:val="Sharon1"/>
        <w:bidi w:val="0"/>
        <w:rPr/>
      </w:pPr>
      <w:r>
        <w:rPr>
          <w:b/>
          <w:strike/>
        </w:rPr>
        <w:t>{13. Securities Representation/Canadian Delivery Point(s). In respect of those Transactions in which the Delivery Point is located in Canada each party represents to the other party that (i) the }</w:t>
      </w:r>
      <w:r>
        <w:rPr>
          <w:b/>
          <w:u w:val="double"/>
        </w:rPr>
        <w:t>{13.</w:t>
      </w:r>
      <w:r>
        <w:rPr>
          <w:b/>
        </w:rPr>
        <w:tab/>
      </w:r>
      <w:r>
        <w:rPr>
          <w:b/>
          <w:u w:val="double"/>
        </w:rPr>
        <w:t>Securities Representation</w:t>
      </w:r>
      <w:r>
        <w:rPr>
          <w:u w:val="double"/>
        </w:rPr>
        <w:t>.    Each party, with respect to itself, hereby represents and warrants that, to the extent any}</w:t>
      </w:r>
      <w:r>
        <w:rPr/>
        <w:t xml:space="preserve"> Transaction shall constitute </w:t>
      </w:r>
      <w:r>
        <w:rPr>
          <w:strike/>
        </w:rPr>
        <w:t>{an "OTC Derivative" as defined in}</w:t>
      </w:r>
      <w:r>
        <w:rPr/>
        <w:t xml:space="preserve"> </w:t>
      </w:r>
      <w:r>
        <w:rPr>
          <w:u w:val="double"/>
        </w:rPr>
        <w:t>{a "commodity contract" or an "OTC derivative" pursuant to}</w:t>
      </w:r>
      <w:r>
        <w:rPr/>
        <w:t xml:space="preserve"> the </w:t>
      </w:r>
      <w:r>
        <w:rPr>
          <w:i/>
        </w:rPr>
        <w:t>Securities Act</w:t>
      </w:r>
      <w:r>
        <w:rPr/>
        <w:t xml:space="preserve"> (Alberta) </w:t>
      </w:r>
      <w:r>
        <w:rPr>
          <w:strike/>
        </w:rPr>
        <w:t>{and}</w:t>
      </w:r>
      <w:r>
        <w:rPr/>
        <w:t xml:space="preserve"> </w:t>
      </w:r>
      <w:r>
        <w:rPr>
          <w:u w:val="double"/>
        </w:rPr>
        <w:t>{or}</w:t>
      </w:r>
      <w:r>
        <w:rPr/>
        <w:t xml:space="preserve"> the </w:t>
      </w:r>
      <w:r>
        <w:rPr>
          <w:i/>
        </w:rPr>
        <w:t>Securities Act</w:t>
      </w:r>
      <w:r>
        <w:rPr/>
        <w:t xml:space="preserve"> (British Columbia) </w:t>
      </w:r>
      <w:r>
        <w:rPr>
          <w:strike/>
        </w:rPr>
        <w:t>{which have application to such Transaction, and (ii)}</w:t>
      </w:r>
      <w:r>
        <w:rPr>
          <w:u w:val="double"/>
        </w:rPr>
        <w:t>{, }</w:t>
      </w:r>
      <w:r>
        <w:rPr/>
        <w:t xml:space="preserve">it is a "Qualified Party" within the meaning of paragraph 9.1 of the Alberta Securities Commission </w:t>
      </w:r>
      <w:r>
        <w:rPr>
          <w:strike/>
        </w:rPr>
        <w:t>{Order Doc. #394043 and/or Paragraph}</w:t>
      </w:r>
      <w:r>
        <w:rPr/>
        <w:t xml:space="preserve"> </w:t>
      </w:r>
      <w:r>
        <w:rPr>
          <w:u w:val="double"/>
        </w:rPr>
        <w:t>{Blanket Order BOR#91-102 and paragraph}</w:t>
      </w:r>
      <w:r>
        <w:rPr/>
        <w:t xml:space="preserve"> 1.1 of the British Columbia Securities Commission Blanket Order BOR#91-501</w:t>
      </w:r>
      <w:r>
        <w:rPr>
          <w:strike/>
        </w:rPr>
        <w:t>{(BC), each as in effect of the date hereof.}</w:t>
      </w:r>
      <w:r>
        <w:rPr>
          <w:u w:val="double"/>
        </w:rPr>
        <w:t>{, and that it is similarly qualified pursuant to any equivalent or analogous law, order or enactment of any other jurisdiction that may have application to such Transaction.}</w:t>
      </w:r>
    </w:p>
    <w:p>
      <w:pPr>
        <w:pStyle w:val="Sharon1"/>
        <w:bidi w:val="0"/>
        <w:rPr>
          <w:u w:val="double"/>
        </w:rPr>
      </w:pPr>
      <w:r>
        <w:rPr>
          <w:b/>
          <w:strike/>
        </w:rPr>
        <w:t>{14. Governing Law. This}</w:t>
      </w:r>
      <w:r>
        <w:rPr>
          <w:b/>
        </w:rPr>
        <w:t xml:space="preserve"> </w:t>
      </w:r>
      <w:r>
        <w:rPr>
          <w:b/>
          <w:u w:val="double"/>
        </w:rPr>
        <w:t>{14.</w:t>
      </w:r>
      <w:r>
        <w:rPr>
          <w:b/>
        </w:rPr>
        <w:tab/>
      </w:r>
      <w:r>
        <w:rPr>
          <w:b/>
          <w:color w:val="000000"/>
          <w:u w:val="double"/>
        </w:rPr>
        <w:t>Eligible Financial Contract</w:t>
      </w:r>
      <w:r>
        <w:rPr>
          <w:color w:val="000000"/>
          <w:u w:val="double"/>
        </w:rPr>
        <w:t>.    The parties confirm their intention that this}</w:t>
      </w:r>
      <w:r>
        <w:rPr>
          <w:color w:val="000000"/>
        </w:rPr>
        <w:t xml:space="preserve"> GTC and all Transactions and </w:t>
      </w:r>
      <w:r>
        <w:rPr>
          <w:color w:val="000000"/>
          <w:u w:val="double"/>
        </w:rPr>
        <w:t xml:space="preserve">{any related guarantee or other credit support arrangement each and together constitute an "eligible financial contract" under the </w:t>
      </w:r>
      <w:r>
        <w:rPr>
          <w:i/>
          <w:color w:val="000000"/>
          <w:u w:val="double"/>
        </w:rPr>
        <w:t>Bankruptcy and Insolvency Act</w:t>
      </w:r>
      <w:r>
        <w:rPr>
          <w:color w:val="000000"/>
        </w:rPr>
        <w:t xml:space="preserve"> </w:t>
      </w:r>
      <w:r>
        <w:rPr>
          <w:color w:val="000000"/>
          <w:u w:val="double"/>
        </w:rPr>
        <w:t xml:space="preserve">(Canada), the </w:t>
      </w:r>
      <w:r>
        <w:rPr>
          <w:i/>
          <w:color w:val="000000"/>
          <w:u w:val="double"/>
        </w:rPr>
        <w:t>Companies' Creditors Arrangement Act</w:t>
      </w:r>
      <w:r>
        <w:rPr>
          <w:color w:val="000000"/>
        </w:rPr>
        <w:t xml:space="preserve"> </w:t>
      </w:r>
      <w:r>
        <w:rPr>
          <w:color w:val="000000"/>
          <w:u w:val="double"/>
        </w:rPr>
        <w:t xml:space="preserve">(Canada) and the </w:t>
      </w:r>
      <w:r>
        <w:rPr>
          <w:i/>
          <w:color w:val="000000"/>
          <w:u w:val="double"/>
        </w:rPr>
        <w:t>Winding-up and Restructuring Act</w:t>
      </w:r>
      <w:r>
        <w:rPr>
          <w:color w:val="000000"/>
        </w:rPr>
        <w:t xml:space="preserve"> </w:t>
      </w:r>
      <w:r>
        <w:rPr>
          <w:color w:val="000000"/>
          <w:u w:val="double"/>
        </w:rPr>
        <w:t>(Canada), as the same may be amended, restated, replaced or re-enacted from time to time, and will be similarly treated under and in all proceedings related to bankruptcy or insolvency of a party.</w:t>
      </w:r>
    </w:p>
    <w:p>
      <w:pPr>
        <w:pStyle w:val="Sharon1"/>
        <w:bidi w:val="0"/>
        <w:rPr>
          <w:u w:val="double"/>
        </w:rPr>
      </w:pPr>
      <w:r>
        <w:rPr>
          <w:b/>
          <w:u w:val="double"/>
        </w:rPr>
        <w:t>15.</w:t>
      </w:r>
      <w:r>
        <w:rPr>
          <w:b/>
        </w:rPr>
        <w:tab/>
      </w:r>
      <w:r>
        <w:rPr>
          <w:b/>
          <w:u w:val="double"/>
        </w:rPr>
        <w:t>NOVA Inventory Transfer; AECO "C"</w:t>
      </w:r>
      <w:r>
        <w:rPr>
          <w:u w:val="double"/>
        </w:rPr>
        <w:t>.    If NIT is specified as the Delivery Point for any Transaction and if NOVA Inventory Transfers, as they operate on the date the Transaction is entered into, are discontinued, or changed, then (i) the parties shall in good faith promptly enter into negotiations to change the Delivery Point to a point on the NOVA transmission system which allows for firm service delivery of the gas to be delivered under such Transaction, but if the parties fail to agree on a new Delivery Point within five Business Days, the Delivery Point under such Transaction may be amended to "AECO "C"" by either party giving notice thereof to the other; and (i) following any change in the Delivery Point, Seller shall continue to be responsible for the payment of all costs for delivery of gas to the new Delivery Point.    If NOVA institutes a fee for title transfers or the Delivery Point is or is changed to AECO "C" and AECO "C" imposes a fee for title transfers, such fee shall be paid by Seller, and if such fee is charged to Buyer, then Seller shall reimburse Buyer for such fee as a deduction from the Contract Price of any affected Transaction.</w:t>
      </w:r>
    </w:p>
    <w:p>
      <w:pPr>
        <w:pStyle w:val="Sharon1"/>
        <w:bidi w:val="0"/>
        <w:rPr/>
      </w:pPr>
      <w:r>
        <w:rPr>
          <w:b/>
          <w:u w:val="double"/>
        </w:rPr>
        <w:t>16.</w:t>
      </w:r>
      <w:r>
        <w:rPr>
          <w:b/>
        </w:rPr>
        <w:tab/>
      </w:r>
      <w:r>
        <w:rPr>
          <w:b/>
          <w:u w:val="double"/>
        </w:rPr>
        <w:t>Governing Law.</w:t>
      </w:r>
      <w:r>
        <w:rPr/>
        <w:t xml:space="preserve">    </w:t>
      </w:r>
      <w:r>
        <w:rPr>
          <w:u w:val="double"/>
        </w:rPr>
        <w:t>Each and every Transaction and}</w:t>
      </w:r>
      <w:r>
        <w:rPr/>
        <w:t xml:space="preserve"> the rights and duties of the parties </w:t>
      </w:r>
      <w:r>
        <w:rPr>
          <w:strike/>
        </w:rPr>
        <w:t>{arising therefrom}</w:t>
      </w:r>
      <w:r>
        <w:rPr/>
        <w:t xml:space="preserve"> </w:t>
      </w:r>
      <w:r>
        <w:rPr>
          <w:u w:val="double"/>
        </w:rPr>
        <w:t>{in respect thereof}</w:t>
      </w:r>
      <w:r>
        <w:rPr/>
        <w:t xml:space="preserve"> shall be governed by, interpreted and construed in accordance with the laws of </w:t>
      </w:r>
      <w:r>
        <w:rPr>
          <w:b/>
          <w:strike/>
        </w:rPr>
        <w:t>{the State of New York}</w:t>
      </w:r>
      <w:r>
        <w:rPr>
          <w:b/>
          <w:u w:val="double"/>
        </w:rPr>
        <w:t>{[the Province of Alberta]}</w:t>
      </w:r>
      <w:r>
        <w:rPr/>
        <w:t xml:space="preserve"> (without reference to choice of law doctrine).    With respect to any suit, action or proceedings relating to this GTC or any Transaction hereunder ("</w:t>
      </w:r>
      <w:r>
        <w:rPr>
          <w:u w:val="single"/>
        </w:rPr>
        <w:t>Proceedings</w:t>
      </w:r>
      <w:r>
        <w:rPr/>
        <w:t xml:space="preserve">") each party irrevocably submits to the non-exclusive jurisdiction of the </w:t>
      </w:r>
      <w:r>
        <w:rPr>
          <w:strike/>
        </w:rPr>
        <w:t>{federal and state courts located in the County of New York, State of New York}</w:t>
      </w:r>
      <w:r>
        <w:rPr/>
        <w:t xml:space="preserve"> </w:t>
      </w:r>
      <w:r>
        <w:rPr>
          <w:u w:val="double"/>
        </w:rPr>
        <w:t>{courts of the Province of Alberta}</w:t>
      </w:r>
      <w:r>
        <w:rPr/>
        <w:t xml:space="preserve">, waives any objection which it may have to the laying of venue of any Proceedings brought in any such court, and waives any claim that any such Proceedings have been brought in an inconvenient forum.    </w:t>
      </w:r>
      <w:r>
        <w:rPr>
          <w:strike/>
        </w:rPr>
        <w:t>{EACH PARTY HEREBY IRREVOCABLY WAIVES AND ALL RIGHT TO TRIAL BY JURY IN ANY SUIT, ACTION OR PROCEEDING ARISING OUT OF OR RELATING TO THIS GTC OR ANY TRANSACTION AND ACKNOWLEDGES THAT THIS WAIVER IS A MATERIAL INDUCEMENT TO THE OTHER PARTY'S ENTERING INTO THIS GTC.}</w:t>
      </w:r>
      <w:r>
        <w:rPr/>
        <w:t xml:space="preserve"> </w:t>
      </w:r>
      <w:r>
        <w:rPr>
          <w:u w:val="double"/>
        </w:rPr>
        <w:t>{Each party hereby irrevocably waives all right to trial by jury in any suit, action or proceeding arising out of or relating to this GTC or any Transaction and acknowledges that this waiver is a material inducement to the other party's entering into any Transaction.}</w:t>
      </w:r>
    </w:p>
    <w:p>
      <w:pPr>
        <w:pStyle w:val="Sharon1"/>
        <w:bidi w:val="0"/>
        <w:ind w:hanging="720" w:start="720"/>
        <w:rPr>
          <w:u w:val="double"/>
        </w:rPr>
      </w:pPr>
      <w:r>
        <w:rPr>
          <w:b/>
          <w:strike/>
        </w:rPr>
        <w:t>{15}</w:t>
      </w:r>
      <w:r>
        <w:rPr>
          <w:b/>
        </w:rPr>
        <w:t xml:space="preserve"> </w:t>
      </w:r>
      <w:r>
        <w:rPr>
          <w:b/>
          <w:u w:val="double"/>
        </w:rPr>
        <w:t>{17}</w:t>
      </w:r>
      <w:r>
        <w:rPr>
          <w:b/>
        </w:rPr>
        <w:t>.</w:t>
        <w:tab/>
      </w:r>
      <w:r>
        <w:rPr>
          <w:b/>
          <w:color w:val="000000"/>
          <w:u w:val="single"/>
        </w:rPr>
        <w:t>Representations and Other Matters</w:t>
      </w:r>
      <w:r>
        <w:rPr>
          <w:color w:val="000000"/>
        </w:rPr>
        <w:t xml:space="preserve">.    </w:t>
      </w:r>
      <w:r>
        <w:rPr/>
        <w:t>Each of the parties hereby represents and warrants (which representations and warranties will be deemed to be repeated by each party on each date on which a Transaction is entered into) that</w:t>
      </w:r>
      <w:r>
        <w:rPr>
          <w:u w:val="double"/>
        </w:rPr>
        <w:t>{:}</w:t>
      </w:r>
      <w:r>
        <w:rPr/>
        <w:t xml:space="preserve"> it is entering into this GTC and each Transaction as principal (and not as agent or in any other capacity, fiduciary or otherwise); it has all regulatory authorizations necessary for it to legally perform its obligations under this GTC and each Transaction, including, without limitation, the provision of credit support pursuant to </w:t>
      </w:r>
      <w:r>
        <w:rPr>
          <w:u w:val="single"/>
        </w:rPr>
        <w:t xml:space="preserve">Section </w:t>
      </w:r>
      <w:r>
        <w:rPr>
          <w:u w:val="double"/>
        </w:rPr>
        <w:fldChar w:fldCharType="begin"/>
      </w:r>
      <w:r>
        <w:rPr>
          <w:u w:val="double"/>
        </w:rPr>
        <w:instrText xml:space="preserve"> REF _Ref599311 \r \r \h </w:instrText>
      </w:r>
      <w:r>
        <w:rPr>
          <w:u w:val="double"/>
        </w:rPr>
        <w:fldChar w:fldCharType="separate"/>
      </w:r>
      <w:r>
        <w:rPr>
          <w:u w:val="double"/>
        </w:rPr>
      </w:r>
      <w:r>
        <w:rPr>
          <w:u w:val="double"/>
        </w:rPr>
        <w:fldChar w:fldCharType="end"/>
      </w:r>
      <w:r>
        <w:rPr>
          <w:u w:val="double"/>
        </w:rPr>
        <w:t>}</w:t>
      </w:r>
      <w:r>
        <w:rPr/>
        <w:t>; the execution, delivery and performance of this GTC and each Transaction</w:t>
      </w:r>
      <w:r>
        <w:rPr>
          <w:strike/>
        </w:rPr>
        <w:t>{, including, without limitation, the provision of credit support pursuant to Section 16,}</w:t>
      </w:r>
      <w:r>
        <w:rPr/>
        <w:t xml:space="preserve"> are within its powers, have been duly authorized by all necessary action, and do not violate any of the terms and conditions in its governing documents, any contracts to which it is a party or any law or regulation applicable to it; this GTC and each Transaction when entered into </w:t>
      </w:r>
      <w:r>
        <w:rPr>
          <w:strike/>
        </w:rPr>
        <w:t>{in accordance with this GTC constitutes its}</w:t>
      </w:r>
      <w:r>
        <w:rPr/>
        <w:t xml:space="preserve"> </w:t>
      </w:r>
      <w:r>
        <w:rPr>
          <w:u w:val="double"/>
        </w:rPr>
        <w:t>{constitute}</w:t>
      </w:r>
      <w:r>
        <w:rPr/>
        <w:t xml:space="preserve"> legally valid and binding </w:t>
      </w:r>
      <w:r>
        <w:rPr>
          <w:strike/>
        </w:rPr>
        <w:t>{obligation}</w:t>
      </w:r>
      <w:r>
        <w:rPr/>
        <w:t xml:space="preserve"> </w:t>
      </w:r>
      <w:r>
        <w:rPr>
          <w:u w:val="double"/>
        </w:rPr>
        <w:t>{obligations}</w:t>
      </w:r>
      <w:r>
        <w:rPr/>
        <w:t xml:space="preserve"> enforceable against it in accordance with its terms</w:t>
      </w:r>
      <w:r>
        <w:rPr>
          <w:strike/>
        </w:rPr>
        <w:t>{, subject to any equitable defenses}</w:t>
      </w:r>
      <w:r>
        <w:rPr/>
        <w:t>; with respect to each Transaction, it has the ability to make or take delivery of the gas and has entered into such Transaction with the intention to do so;</w:t>
      </w:r>
      <w:r>
        <w:rPr>
          <w:strike/>
        </w:rPr>
        <w:t>{ it is a "forward contract merchant" and each Transaction hereunder shall constitute a "forward contract" (other than Transactions hereunder with a maturity of two days or less), in each case within the meaning of the Code;}</w:t>
      </w:r>
      <w:r>
        <w:rPr/>
        <w:t xml:space="preserve"> and there is not pending or, to its knowledge, threatened against it </w:t>
      </w:r>
      <w:r>
        <w:rPr>
          <w:strike/>
        </w:rPr>
        <w:t>{or any guarantor}</w:t>
      </w:r>
      <w:r>
        <w:rPr/>
        <w:t xml:space="preserve"> any action, suit or proceeding at law or in equity or before any court, tribunal, governmental body, agency or official or any arbitrator that is likely to affect the legality, validity or enforceability of this GTC, any Transaction, or any guaranty or other credit support arrangement </w:t>
      </w:r>
      <w:r>
        <w:rPr>
          <w:strike/>
        </w:rPr>
        <w:t>{provided pursuant to Section 16}</w:t>
      </w:r>
      <w:r>
        <w:rPr/>
        <w:t>This GTC and each Transaction shall be binding upon and inure to the benefit of the parties and their respective successors and permitted assigns.</w:t>
      </w:r>
      <w:r>
        <w:rPr>
          <w:u w:val="double"/>
        </w:rPr>
        <w:t>{</w:t>
      </w:r>
    </w:p>
    <w:p>
      <w:pPr>
        <w:pStyle w:val="Normal"/>
        <w:widowControl w:val="false"/>
        <w:suppressAutoHyphens w:val="true"/>
        <w:bidi w:val="0"/>
        <w:spacing w:before="0" w:after="240"/>
        <w:jc w:val="both"/>
        <w:rPr/>
      </w:pPr>
      <w:r>
        <w:rPr>
          <w:u w:val="double"/>
        </w:rPr>
        <w:t>}</w:t>
      </w:r>
      <w:r>
        <w:rPr/>
        <w:t xml:space="preserve">Neither party shall have the </w:t>
      </w:r>
      <w:r>
        <w:rPr>
          <w:strike/>
        </w:rPr>
        <w:t>{power}</w:t>
      </w:r>
      <w:r>
        <w:rPr/>
        <w:t xml:space="preserve"> </w:t>
      </w:r>
      <w:r>
        <w:rPr>
          <w:u w:val="double"/>
        </w:rPr>
        <w:t>{right}</w:t>
      </w:r>
      <w:r>
        <w:rPr/>
        <w:t xml:space="preserve">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w:t>
      </w:r>
      <w:r>
        <w:rPr>
          <w:strike/>
        </w:rPr>
        <w:t>{, who is in the same tax jurisdiction as such party and whose creditworthiness is not materially weaker than that of such party, if (i) the assignment is made with prior notice}</w:t>
      </w:r>
      <w:r>
        <w:rPr/>
        <w:t xml:space="preserve"> </w:t>
      </w:r>
      <w:r>
        <w:rPr>
          <w:u w:val="double"/>
        </w:rPr>
        <w:t>{of such party which is not materially less creditworthy than such party, if (i) the same does not result in any adverse tax consequences}</w:t>
      </w:r>
      <w:r>
        <w:rPr/>
        <w:t xml:space="preserve"> to the non-assigning party</w:t>
      </w:r>
      <w:r>
        <w:rPr>
          <w:strike/>
        </w:rPr>
        <w:t>{, (ii) the }</w:t>
      </w:r>
      <w:r>
        <w:rPr/>
        <w:t xml:space="preserve"> </w:t>
      </w:r>
      <w:r>
        <w:rPr>
          <w:u w:val="double"/>
        </w:rPr>
        <w:t>{with respect to any Transaction, (ii) the assignment is made with prior notice to the non-assigning party, (iii) the}</w:t>
      </w:r>
      <w:r>
        <w:rPr/>
        <w:t xml:space="preserve"> Affiliate assignee agrees in writing to be bound by the terms and conditions thereof, </w:t>
      </w:r>
      <w:r>
        <w:rPr>
          <w:strike/>
        </w:rPr>
        <w:t>{(iii) such}</w:t>
      </w:r>
      <w:r>
        <w:rPr>
          <w:u w:val="double"/>
        </w:rPr>
        <w:t>{(iv) such}</w:t>
      </w:r>
      <w:r>
        <w:rPr/>
        <w:t xml:space="preserve"> assignment shall not relieve the assigning party of any of its obligations thereunder, and </w:t>
      </w:r>
      <w:r>
        <w:rPr>
          <w:strike/>
        </w:rPr>
        <w:t>{(iv) any}</w:t>
      </w:r>
      <w:r>
        <w:rPr>
          <w:u w:val="double"/>
        </w:rPr>
        <w:t>{(v) any}</w:t>
      </w:r>
      <w:r>
        <w:rPr/>
        <w:t xml:space="preserve"> guaranty or other credit support arrangement </w:t>
      </w:r>
      <w:r>
        <w:rPr>
          <w:strike/>
        </w:rPr>
        <w:t>{provided pursuant to Section 16}</w:t>
      </w:r>
      <w:r>
        <w:rPr/>
        <w:t xml:space="preserve"> continues to extend to the performance of the Affiliate assignee.    Any purported assignment in violation of this provision shall be void and of no force and effect.</w:t>
      </w:r>
    </w:p>
    <w:p>
      <w:pPr>
        <w:pStyle w:val="Normal"/>
        <w:bidi w:val="0"/>
        <w:rPr>
          <w:u w:val="double"/>
        </w:rPr>
      </w:pPr>
      <w:r>
        <w:rPr/>
        <w:t>This GTC and each Transaction</w:t>
      </w:r>
      <w:r>
        <w:rPr>
          <w:strike/>
        </w:rPr>
        <w:t>{, and any confirmation thereof, together with the Long Product Definitions and the Electronic Trading Agreement between the parties,}</w:t>
      </w:r>
      <w:r>
        <w:rPr/>
        <w:t xml:space="preserve"> contain the entire agreement between the parties and supersede all prior oral or written communications or agreements relating to the subject matter.</w:t>
      </w:r>
      <w:r>
        <w:rPr>
          <w:u w:val="double"/>
        </w:rPr>
        <w:t>{</w:t>
      </w:r>
    </w:p>
    <w:p>
      <w:pPr>
        <w:pStyle w:val="Normal"/>
        <w:widowControl w:val="false"/>
        <w:suppressAutoHyphens w:val="true"/>
        <w:bidi w:val="0"/>
        <w:spacing w:before="0" w:after="240"/>
        <w:jc w:val="both"/>
        <w:rPr/>
      </w:pPr>
      <w:r>
        <w:rPr>
          <w:u w:val="double"/>
        </w:rPr>
        <w:t>}</w:t>
      </w:r>
      <w:r>
        <w:rPr/>
        <w:t>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w:t>
      </w:r>
    </w:p>
    <w:p>
      <w:pPr>
        <w:pStyle w:val="Normal"/>
        <w:widowControl w:val="false"/>
        <w:suppressAutoHyphens w:val="true"/>
        <w:bidi w:val="0"/>
        <w:spacing w:before="0" w:after="240"/>
        <w:jc w:val="both"/>
        <w:rPr/>
      </w:pPr>
      <w:r>
        <w:rPr/>
        <w:t>Any provision declared or rendered unlawful by any applicable court of law or regulatory agency or deemed unlawful because of a statutory change (individually or collectively, such events referred to as "</w:t>
      </w:r>
      <w:r>
        <w:rPr>
          <w:u w:val="single"/>
        </w:rPr>
        <w:t>Regulatory Event</w:t>
      </w:r>
      <w:r>
        <w:rPr/>
        <w:t xml:space="preserve">") will not otherwise affect the remaining lawful obligations that arise under a Transaction or this GTC; provided, if a Regulatory Event occurs, the parties shall use commercially reasonable efforts to </w:t>
      </w:r>
      <w:r>
        <w:rPr>
          <w:strike/>
        </w:rPr>
        <w:t>{reform}</w:t>
      </w:r>
      <w:r>
        <w:rPr/>
        <w:t xml:space="preserve"> </w:t>
      </w:r>
      <w:r>
        <w:rPr>
          <w:u w:val="double"/>
        </w:rPr>
        <w:t>{perform}</w:t>
      </w:r>
      <w:r>
        <w:rPr/>
        <w:t xml:space="preserve"> such Transaction or this GTC in order to give effect to the original intention of such parties.</w:t>
      </w:r>
    </w:p>
    <w:p>
      <w:pPr>
        <w:pStyle w:val="Sharon1"/>
        <w:bidi w:val="0"/>
        <w:rPr>
          <w:u w:val="double"/>
        </w:rPr>
      </w:pPr>
      <w:r>
        <w:rPr>
          <w:b/>
          <w:strike/>
        </w:rPr>
        <w:t>{16}</w:t>
      </w:r>
      <w:r>
        <w:rPr>
          <w:b/>
        </w:rPr>
        <w:t xml:space="preserve"> </w:t>
      </w:r>
      <w:r>
        <w:rPr>
          <w:b/>
          <w:u w:val="double"/>
        </w:rPr>
        <w:t>{18}</w:t>
      </w:r>
      <w:r>
        <w:rPr>
          <w:b/>
        </w:rPr>
        <w:t>.</w:t>
        <w:tab/>
      </w:r>
      <w:bookmarkStart w:id="6" w:name="_Ref599311"/>
      <w:r>
        <w:rPr>
          <w:b/>
          <w:u w:val="single"/>
        </w:rPr>
        <w:t>Credit Support Arrangements</w:t>
      </w:r>
      <w:r>
        <w:rPr/>
        <w:t>.    At the request of UBS, counterparty shall provide any of the following credit support arrangements within three Business Days of such request: (i) a letter of credit in respect of counterparty's obligations under any Transaction in a form, for an amount and from an issuer with a credit rating for its unsecured, senior long-term debt or deposit obligations (not supported by third party credit enhancement) by Standard &amp; Poor's Rating Group and Moody's Investors Service, Inc. of at least "A-" or "A3</w:t>
      </w:r>
      <w:r>
        <w:rPr>
          <w:strike/>
        </w:rPr>
        <w:t>{,}</w:t>
      </w:r>
      <w:r>
        <w:rPr/>
        <w:t>"</w:t>
      </w:r>
      <w:r>
        <w:rPr>
          <w:u w:val="double"/>
        </w:rPr>
        <w:t>{,}</w:t>
      </w:r>
      <w:r>
        <w:rPr/>
        <w:t xml:space="preserve"> respectively (the "</w:t>
      </w:r>
      <w:r>
        <w:rPr>
          <w:u w:val="single"/>
        </w:rPr>
        <w:t>Rating Level</w:t>
      </w:r>
      <w:r>
        <w:rPr/>
        <w:t>"), in each case, as is acceptable to UBS in its commercially reasonable discretion (a "</w:t>
      </w:r>
      <w:r>
        <w:rPr>
          <w:u w:val="single"/>
        </w:rPr>
        <w:t>Letter of Credit</w:t>
      </w:r>
      <w:r>
        <w:rPr/>
        <w:t xml:space="preserve">"), </w:t>
      </w:r>
      <w:r>
        <w:rPr>
          <w:strike/>
        </w:rPr>
        <w:t>{(ii) a}</w:t>
      </w:r>
      <w:r>
        <w:rPr>
          <w:u w:val="double"/>
        </w:rPr>
        <w:t>{(ii) a}</w:t>
      </w:r>
      <w:r>
        <w:rPr/>
        <w:t xml:space="preserve"> guaranty covering counterparty's obligations under any Transaction in a form, for an amount and from a person or entity, in each case, as is acceptable to UBS in its commercially reasonable discretion, or (iii) lawful currency of the United States of America in respect of counterparty's obligations under any Transaction in an amount acceptable to UBS in its commercially reasonable discretion.    </w:t>
      </w:r>
      <w:r>
        <w:rPr>
          <w:b/>
          <w:u w:val="double"/>
        </w:rPr>
        <w:t>{[Note:    Canadian currency and cash collateral issues.]}</w:t>
      </w:r>
      <w:r>
        <w:rPr/>
        <w:t xml:space="preserve">    Each Letter of Credit </w:t>
      </w:r>
      <w:r>
        <w:rPr>
          <w:strike/>
        </w:rPr>
        <w:t>{issued pursuant hereto}</w:t>
      </w:r>
      <w:r>
        <w:rPr/>
        <w:t xml:space="preserve"> shall be replaced</w:t>
      </w:r>
      <w:r>
        <w:rPr>
          <w:u w:val="double"/>
        </w:rPr>
        <w:t>{, renewed or extended}</w:t>
      </w:r>
      <w:r>
        <w:rPr/>
        <w:t xml:space="preserve"> on or before 20 Business Days prior to </w:t>
      </w:r>
      <w:r>
        <w:rPr>
          <w:strike/>
        </w:rPr>
        <w:t>{the}</w:t>
      </w:r>
      <w:r>
        <w:rPr/>
        <w:t xml:space="preserve"> </w:t>
      </w:r>
      <w:r>
        <w:rPr>
          <w:u w:val="double"/>
        </w:rPr>
        <w:t>{any}</w:t>
      </w:r>
      <w:r>
        <w:rPr/>
        <w:t xml:space="preserve"> expiration thereof.    To secure its obligations under this GTC </w:t>
      </w:r>
      <w:r>
        <w:rPr>
          <w:u w:val="double"/>
        </w:rPr>
        <w:t xml:space="preserve">{and to the extent counterparty provides </w:t>
      </w:r>
      <w:r>
        <w:rPr>
          <w:b/>
          <w:u w:val="double"/>
        </w:rPr>
        <w:t>[currency or other collateral]</w:t>
      </w:r>
      <w:r>
        <w:rPr/>
        <w:t xml:space="preserve"> </w:t>
      </w:r>
      <w:r>
        <w:rPr>
          <w:u w:val="double"/>
        </w:rPr>
        <w:t>hereunder or pursuant to the terms of any Transaction,}</w:t>
      </w:r>
      <w:r>
        <w:rPr/>
        <w:t xml:space="preserve"> counterparty hereby grants to UBS a first-priority, </w:t>
      </w:r>
      <w:r>
        <w:rPr>
          <w:u w:val="double"/>
        </w:rPr>
        <w:t>{possessory,}</w:t>
      </w:r>
      <w:r>
        <w:rPr/>
        <w:t xml:space="preserve"> present and continuing security interest in, lien on, right of setoff against, and assignment of, all </w:t>
      </w:r>
      <w:r>
        <w:rPr>
          <w:u w:val="double"/>
        </w:rPr>
        <w:t xml:space="preserve">{such </w:t>
      </w:r>
      <w:r>
        <w:rPr>
          <w:b/>
          <w:u w:val="double"/>
        </w:rPr>
        <w:t>[}</w:t>
      </w:r>
      <w:r>
        <w:rPr>
          <w:b/>
        </w:rPr>
        <w:t xml:space="preserve">currency or other collateral </w:t>
      </w:r>
      <w:r>
        <w:rPr>
          <w:b/>
          <w:strike/>
        </w:rPr>
        <w:t>{delivered pursuant to the terms of this GTC or any Transaction}</w:t>
      </w:r>
      <w:r>
        <w:rPr>
          <w:b/>
          <w:u w:val="double"/>
        </w:rPr>
        <w:t>{]}</w:t>
      </w:r>
      <w:r>
        <w:rPr/>
        <w:t xml:space="preserve"> and any and all proceeds resulting therefrom or the liquidation thereof, whether now or hereafter held by, on behalf of, or for the benefit of, UBS (the "</w:t>
      </w:r>
      <w:r>
        <w:rPr>
          <w:u w:val="single"/>
        </w:rPr>
        <w:t>Lien</w:t>
      </w:r>
      <w:r>
        <w:rPr/>
        <w:t xml:space="preserve">"), and counterparty agrees to take such action as UBS reasonably requires in order to perfect </w:t>
      </w:r>
      <w:r>
        <w:rPr>
          <w:strike/>
        </w:rPr>
        <w:t>{a}</w:t>
      </w:r>
      <w:r>
        <w:rPr/>
        <w:t xml:space="preserve"> </w:t>
      </w:r>
      <w:r>
        <w:rPr>
          <w:u w:val="double"/>
        </w:rPr>
        <w:t>{UBS's}</w:t>
      </w:r>
      <w:r>
        <w:rPr/>
        <w:t xml:space="preserve"> first-priority Lien </w:t>
      </w:r>
      <w:r>
        <w:rPr>
          <w:strike/>
        </w:rPr>
        <w:t>{favor of UBS. }</w:t>
      </w:r>
      <w:r>
        <w:rPr>
          <w:u w:val="double"/>
        </w:rPr>
        <w:t xml:space="preserve">{.    </w:t>
      </w:r>
      <w:r>
        <w:rPr>
          <w:b/>
          <w:u w:val="double"/>
        </w:rPr>
        <w:t>[Note:    registration for perfection issues.]}</w:t>
      </w:r>
      <w:r>
        <w:rPr/>
        <w:t xml:space="preserve">    Upon an Event of Default </w:t>
      </w:r>
      <w:r>
        <w:rPr>
          <w:u w:val="double"/>
        </w:rPr>
        <w:t>{or an Early Termination Date}</w:t>
      </w:r>
      <w:r>
        <w:rPr/>
        <w:t xml:space="preserve"> wherein UBS is the non-defaulting party, UBS shall have the right to do any one or more </w:t>
      </w:r>
      <w:r>
        <w:rPr>
          <w:strike/>
        </w:rPr>
        <w:t>{of}</w:t>
      </w:r>
      <w:r>
        <w:rPr/>
        <w:t xml:space="preserve"> the following, none of which shall be an exclusive remedy:    (i) exercise any and all of the rights and remedies of a secured party with respect </w:t>
      </w:r>
      <w:r>
        <w:rPr>
          <w:u w:val="double"/>
        </w:rPr>
        <w:t>{to}</w:t>
      </w:r>
      <w:r>
        <w:rPr/>
        <w:t xml:space="preserve"> all collateral and security secured by the Lien and under applicable law; </w:t>
      </w:r>
      <w:r>
        <w:rPr>
          <w:strike/>
        </w:rPr>
        <w:t>{(ii) exercise}</w:t>
      </w:r>
      <w:r>
        <w:rPr>
          <w:u w:val="double"/>
        </w:rPr>
        <w:t>{(ii) exercise}</w:t>
      </w:r>
      <w:r>
        <w:rPr/>
        <w:t xml:space="preserve"> any and all rights of setoff hereunder and under applicable law; (iii) draw upon any outstanding Letter of Credit issued for </w:t>
      </w:r>
      <w:r>
        <w:rPr>
          <w:strike/>
        </w:rPr>
        <w:t>{the}</w:t>
      </w:r>
      <w:r>
        <w:rPr/>
        <w:t xml:space="preserve"> </w:t>
      </w:r>
      <w:r>
        <w:rPr>
          <w:u w:val="double"/>
        </w:rPr>
        <w:t>{UBS's}</w:t>
      </w:r>
      <w:r>
        <w:rPr/>
        <w:t xml:space="preserve"> benefit </w:t>
      </w:r>
      <w:r>
        <w:rPr>
          <w:strike/>
        </w:rPr>
        <w:t>{of UBS}</w:t>
      </w:r>
      <w:r>
        <w:rPr/>
        <w:t xml:space="preserve">; and </w:t>
      </w:r>
      <w:r>
        <w:rPr>
          <w:strike/>
        </w:rPr>
        <w:t>{(iv) liquidate}</w:t>
      </w:r>
      <w:r>
        <w:rPr>
          <w:u w:val="double"/>
        </w:rPr>
        <w:t>{(iv) liquidate}</w:t>
      </w:r>
      <w:r>
        <w:rPr/>
        <w:t xml:space="preserve"> all collateral and security secured by the Lien then held by </w:t>
      </w:r>
      <w:r>
        <w:rPr>
          <w:strike/>
        </w:rPr>
        <w:t>{of}</w:t>
      </w:r>
      <w:r>
        <w:rPr/>
        <w:t xml:space="preserve"> </w:t>
      </w:r>
      <w:r>
        <w:rPr>
          <w:u w:val="double"/>
        </w:rPr>
        <w:t>{or}</w:t>
      </w:r>
      <w:r>
        <w:rPr/>
        <w:t xml:space="preserve"> for the benefit of UBS free from any claim or right of any nature whatsoever of counterparty, including any equity or right of purchase or redemption by counterparty.</w:t>
      </w:r>
      <w:r>
        <w:rPr>
          <w:b/>
        </w:rPr>
        <w:t xml:space="preserve">    </w:t>
      </w:r>
      <w:r>
        <w:rPr>
          <w:b/>
          <w:u w:val="double"/>
        </w:rPr>
        <w:t>{[Note:    guarantee or other credit support issue for UBS Warburg Energy (Canada) Ltd.]</w:t>
      </w:r>
      <w:bookmarkEnd w:id="6"/>
    </w:p>
    <w:p>
      <w:pPr>
        <w:pStyle w:val="Sharon1"/>
        <w:bidi w:val="0"/>
        <w:rPr/>
      </w:pPr>
      <w:r>
        <w:rPr>
          <w:b/>
          <w:u w:val="double"/>
        </w:rPr>
        <w:t>19}</w:t>
      </w:r>
      <w:r>
        <w:rPr>
          <w:b/>
        </w:rPr>
        <w:t xml:space="preserve"> </w:t>
      </w:r>
      <w:r>
        <w:rPr>
          <w:b/>
          <w:strike/>
        </w:rPr>
        <w:t>{17}</w:t>
      </w:r>
      <w:r>
        <w:rPr>
          <w:b/>
        </w:rPr>
        <w:t>.</w:t>
        <w:tab/>
      </w:r>
      <w:r>
        <w:rPr>
          <w:b/>
          <w:u w:val="single"/>
        </w:rPr>
        <w:t>Certain Definitions</w:t>
      </w:r>
      <w:r>
        <w:rPr/>
        <w:t>.    Certain capitalized terms used in this GTC shall have the following meanings:</w:t>
      </w:r>
    </w:p>
    <w:p>
      <w:pPr>
        <w:pStyle w:val="Normal"/>
        <w:widowControl w:val="false"/>
        <w:suppressAutoHyphens w:val="true"/>
        <w:bidi w:val="0"/>
        <w:spacing w:before="0" w:after="240"/>
        <w:jc w:val="both"/>
        <w:rPr/>
      </w:pPr>
      <w:r>
        <w:rPr>
          <w:u w:val="double"/>
        </w:rPr>
        <w:t xml:space="preserve">{"AECO Day Price" means for any day, the price set forth for the specific day in the first edition of the </w:t>
      </w:r>
      <w:r>
        <w:rPr>
          <w:i/>
          <w:u w:val="double"/>
        </w:rPr>
        <w:t xml:space="preserve">Canadian Gas Price Reporter </w:t>
      </w:r>
      <w:r>
        <w:rPr>
          <w:u w:val="double"/>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w:t>
      </w:r>
    </w:p>
    <w:p>
      <w:pPr>
        <w:pStyle w:val="Normal"/>
        <w:widowControl w:val="false"/>
        <w:suppressAutoHyphens w:val="true"/>
        <w:bidi w:val="0"/>
        <w:spacing w:before="0" w:after="240"/>
        <w:jc w:val="both"/>
        <w:rPr/>
      </w:pPr>
      <w:r>
        <w:rPr/>
        <w:t>"</w:t>
      </w:r>
      <w:r>
        <w:rPr>
          <w:u w:val="single"/>
        </w:rPr>
        <w:t>Affiliate</w:t>
      </w:r>
      <w:r>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widowControl w:val="false"/>
        <w:suppressAutoHyphens w:val="true"/>
        <w:bidi w:val="0"/>
        <w:spacing w:before="0" w:after="240"/>
        <w:jc w:val="both"/>
        <w:rPr/>
      </w:pPr>
      <w:r>
        <w:rPr/>
        <w:t>"</w:t>
      </w:r>
      <w:r>
        <w:rPr>
          <w:u w:val="single"/>
        </w:rPr>
        <w:t>Bankruptcy Event</w:t>
      </w:r>
      <w:r>
        <w:rPr/>
        <w:t>" means, with respect to a party or other entity, that such party or other entity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(v) has a resolution passed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its assets; (vii)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(viii) causes or is subject to any event with respect to it which, under the applicable laws of any jurisdiction, has an analogous effect to any of the events specified in clauses (i) to (vii) (inclusive); or (ix) takes any action in furtherance of, or indicating its consent to, approval of, or acquiescence in, any of the foregoing acts.</w:t>
      </w:r>
    </w:p>
    <w:p>
      <w:pPr>
        <w:pStyle w:val="Normal"/>
        <w:bidi w:val="0"/>
        <w:rPr>
          <w:b/>
        </w:rPr>
      </w:pPr>
      <w:r>
        <w:rPr>
          <w:u w:val="double"/>
        </w:rPr>
        <w:t xml:space="preserve">{"BIA" means the </w:t>
      </w:r>
      <w:r>
        <w:rPr>
          <w:i/>
          <w:u w:val="double"/>
        </w:rPr>
        <w:t>Bankruptcy and Insolvency Act</w:t>
      </w:r>
      <w:r>
        <w:rPr/>
        <w:t xml:space="preserve"> </w:t>
      </w:r>
      <w:r>
        <w:rPr>
          <w:u w:val="double"/>
        </w:rPr>
        <w:t>(Canada), as amended, restated, replaced or re-enacted from time to time.</w:t>
      </w:r>
      <w:r>
        <w:rPr>
          <w:b/>
          <w:u w:val="double"/>
        </w:rPr>
        <w:t>}</w:t>
      </w:r>
    </w:p>
    <w:p>
      <w:pPr>
        <w:pStyle w:val="Normal"/>
        <w:bidi w:val="0"/>
        <w:rPr>
          <w:strike/>
        </w:rPr>
      </w:pPr>
      <w:r>
        <w:rPr/>
        <w:t>"</w:t>
      </w:r>
      <w:r>
        <w:rPr>
          <w:u w:val="single"/>
        </w:rPr>
        <w:t>Business Day</w:t>
      </w:r>
      <w:r>
        <w:rPr/>
        <w:t xml:space="preserve">" means a day on which </w:t>
      </w:r>
      <w:r>
        <w:rPr>
          <w:strike/>
        </w:rPr>
        <w:t>{Federal Reserve member banks in New York City are }</w:t>
      </w:r>
      <w:r>
        <w:rPr>
          <w:u w:val="double"/>
        </w:rPr>
        <w:t>{Schedule I Canadian Chartered Banks are generally}</w:t>
      </w:r>
      <w:r>
        <w:rPr/>
        <w:t xml:space="preserve"> open for business </w:t>
      </w:r>
      <w:r>
        <w:rPr>
          <w:strike/>
        </w:rPr>
        <w:t>{and a Business Day shall open at}</w:t>
      </w:r>
      <w:r>
        <w:rPr>
          <w:u w:val="double"/>
        </w:rPr>
        <w:t>{, between the hours of}</w:t>
      </w:r>
      <w:r>
        <w:rPr/>
        <w:t xml:space="preserve"> 8:00 a.m. and </w:t>
      </w:r>
      <w:r>
        <w:rPr>
          <w:strike/>
        </w:rPr>
        <w:t>{close at}</w:t>
      </w:r>
      <w:r>
        <w:rPr/>
        <w:t xml:space="preserve"> 5:00 p.m. local time at each party's principal place of business </w:t>
      </w:r>
      <w:r>
        <w:rPr>
          <w:u w:val="double"/>
        </w:rPr>
        <w:t>{on such day.}</w:t>
      </w:r>
      <w:r>
        <w:rPr>
          <w:strike/>
        </w:rPr>
        <w:t>{.</w:t>
      </w:r>
    </w:p>
    <w:p>
      <w:pPr>
        <w:pStyle w:val="Normal"/>
        <w:bidi w:val="0"/>
        <w:rPr>
          <w:strike/>
        </w:rPr>
      </w:pPr>
      <w:r>
        <w:rPr>
          <w:strike/>
        </w:rPr>
      </w:r>
    </w:p>
    <w:p>
      <w:pPr>
        <w:pStyle w:val="Normal"/>
        <w:widowControl w:val="false"/>
        <w:suppressAutoHyphens w:val="true"/>
        <w:bidi w:val="0"/>
        <w:spacing w:before="0" w:after="240"/>
        <w:jc w:val="both"/>
        <w:rPr/>
      </w:pPr>
      <w:r>
        <w:rPr>
          <w:strike/>
        </w:rPr>
        <w:t>"Code" means the United States Bankruptcy Code, 11 U.S.C. Secs. 101-1330, as may be amended from time to time.}</w:t>
      </w:r>
    </w:p>
    <w:p>
      <w:pPr>
        <w:pStyle w:val="Normal"/>
        <w:widowControl w:val="false"/>
        <w:suppressAutoHyphens w:val="true"/>
        <w:bidi w:val="0"/>
        <w:spacing w:before="0" w:after="240"/>
        <w:jc w:val="both"/>
        <w:rPr/>
      </w:pPr>
      <w:r>
        <w:rPr/>
        <w:t>"</w:t>
      </w:r>
      <w:r>
        <w:rPr>
          <w:u w:val="single"/>
        </w:rPr>
        <w:t>Costs</w:t>
      </w:r>
      <w:r>
        <w:rPr/>
        <w:t>" means, with respect to a party, brokerage fees, commissions and other similar transaction costs and expenses reasonably incurred by such a party in entering into new arrangements that replace a Transaction.</w:t>
      </w:r>
    </w:p>
    <w:p>
      <w:pPr>
        <w:pStyle w:val="Normal"/>
        <w:widowControl w:val="false"/>
        <w:suppressAutoHyphens w:val="true"/>
        <w:bidi w:val="0"/>
        <w:spacing w:before="0" w:after="240"/>
        <w:jc w:val="both"/>
        <w:rPr/>
      </w:pPr>
      <w:r>
        <w:rPr/>
        <w:t>"</w:t>
      </w:r>
      <w:r>
        <w:rPr>
          <w:u w:val="single"/>
        </w:rPr>
        <w:t>Event of Default</w:t>
      </w:r>
      <w:r>
        <w:rPr/>
        <w:t>" means with respect to a party (the "</w:t>
      </w:r>
      <w:r>
        <w:rPr>
          <w:u w:val="single"/>
        </w:rPr>
        <w:t>Defaulting Party</w:t>
      </w:r>
      <w:r>
        <w:rPr/>
        <w:t xml:space="preserve">") any of the following:    (i) the failure by the Defaulting Party to make, when due, any payment required hereunder if such failure is not remedied within three Business Days after notice of such failure is given to the Defaulting Party; (ii) the failure by the Defaulting Party to provide credit support pursuant to </w:t>
      </w:r>
      <w:r>
        <w:rPr>
          <w:u w:val="single"/>
        </w:rPr>
        <w:t xml:space="preserve">Section </w:t>
      </w:r>
      <w:r>
        <w:rPr>
          <w:u w:val="double"/>
        </w:rPr>
        <w:fldChar w:fldCharType="begin"/>
      </w:r>
      <w:r>
        <w:rPr>
          <w:u w:val="double"/>
        </w:rPr>
        <w:instrText xml:space="preserve"> REF _Ref599311 \r \r \h </w:instrText>
      </w:r>
      <w:r>
        <w:rPr>
          <w:u w:val="double"/>
        </w:rPr>
        <w:fldChar w:fldCharType="separate"/>
      </w:r>
      <w:r>
        <w:rPr>
          <w:u w:val="double"/>
        </w:rPr>
      </w:r>
      <w:r>
        <w:rPr>
          <w:u w:val="double"/>
        </w:rPr>
        <w:fldChar w:fldCharType="end"/>
      </w:r>
      <w:r>
        <w:rPr>
          <w:u w:val="double"/>
        </w:rPr>
        <w:t>}</w:t>
      </w:r>
      <w:r>
        <w:rPr/>
        <w:t xml:space="preserve">, if such failure is not remedied within one Business Day after notice of such failure is given to the Defaulting Party; (iii) any representation or warranty made by the Defaulting Party herein shall prove to have been false or misleading in any material respect when made; (iv) the breach by the Defaulting Party of any material covenant set forth herein (other than any covenant otherwise listed as a specific Event of Default in this provision) if such failure is not remedied within 30 days after notice of such failure is given to the Defaulting Party; (v) the Defaulting Party disaffirms, disclaims, repudiates or rejects, in whole or in part, or challenges the validity of, any Transaction or this GTC; (vi) a Bankruptcy Event occurs with respect to the Defaulting Party; (vii) a Merger Event occurs with respect to the Defaulting Party; (viii) an event of default occurs (howsoever determined) with respect to the Defaulting Party under any transaction or agreement between UBS and counterparty under </w:t>
      </w:r>
      <w:r>
        <w:rPr>
          <w:b/>
          <w:u w:val="double"/>
        </w:rPr>
        <w:t>{[}</w:t>
      </w:r>
      <w:r>
        <w:rPr>
          <w:b/>
        </w:rPr>
        <w:t>any forward contract, swap agreement</w:t>
      </w:r>
      <w:r>
        <w:rPr>
          <w:b/>
          <w:u w:val="double"/>
        </w:rPr>
        <w:t>{,}</w:t>
      </w:r>
      <w:r>
        <w:rPr>
          <w:b/>
        </w:rPr>
        <w:t xml:space="preserve"> or commodity contract, in each case as defined in the </w:t>
      </w:r>
      <w:r>
        <w:rPr>
          <w:b/>
          <w:strike/>
        </w:rPr>
        <w:t>{Code,}</w:t>
      </w:r>
      <w:r>
        <w:rPr>
          <w:b/>
        </w:rPr>
        <w:t xml:space="preserve"> </w:t>
      </w:r>
      <w:r>
        <w:rPr>
          <w:b/>
          <w:u w:val="double"/>
        </w:rPr>
        <w:t>{BIA,]</w:t>
      </w:r>
      <w:r>
        <w:rPr/>
        <w:t xml:space="preserve"> </w:t>
      </w:r>
      <w:r>
        <w:rPr>
          <w:b/>
          <w:u w:val="double"/>
        </w:rPr>
        <w:t>[Note:    need to consider within the scope of the definition of EFCs under the BIA]}</w:t>
      </w:r>
      <w:r>
        <w:rPr/>
        <w:t xml:space="preserve"> or any indebtedness for borrowed money, and there occurs a liquidation of, an acceleration of obligations under, or an early termination of, all transactions thereunder or the agreement; (ix) the guarantor of the Defaulting Party fails to perform any covenant set forth in any guaranty agreement provided pursuant to </w:t>
      </w:r>
      <w:r>
        <w:rPr>
          <w:strike/>
          <w:u w:val="single"/>
        </w:rPr>
        <w:t>{Section 16}</w:t>
      </w:r>
      <w:r>
        <w:rPr>
          <w:u w:val="single"/>
        </w:rPr>
        <w:t xml:space="preserve"> </w:t>
      </w:r>
      <w:r>
        <w:rPr>
          <w:u w:val="double"/>
        </w:rPr>
        <w:t>{Section </w:t>
      </w:r>
      <w:r>
        <w:rPr>
          <w:u w:val="double"/>
        </w:rPr>
        <w:fldChar w:fldCharType="begin"/>
      </w:r>
      <w:r>
        <w:rPr>
          <w:u w:val="double"/>
        </w:rPr>
        <w:instrText xml:space="preserve"> REF _Ref599311 \r \r \h </w:instrText>
      </w:r>
      <w:r>
        <w:rPr>
          <w:u w:val="double"/>
        </w:rPr>
        <w:fldChar w:fldCharType="separate"/>
      </w:r>
      <w:r>
        <w:rPr>
          <w:u w:val="double"/>
        </w:rPr>
      </w:r>
      <w:r>
        <w:rPr>
          <w:u w:val="double"/>
        </w:rPr>
        <w:fldChar w:fldCharType="end"/>
      </w:r>
      <w:r>
        <w:rPr>
          <w:u w:val="double"/>
        </w:rPr>
        <w:t>}</w:t>
      </w:r>
      <w:r>
        <w:rPr/>
        <w:t xml:space="preserve">, any representation or warranty made by the guarantor in such guaranty agreement shall prove to have been false or misleading in any material respect when made, the guarantor disaffirms, disclaims, repudiates or rejects, in whole or in part, or challenges the validity of, any such guaranty agreement, or the guarantor takes or suffers any actions set forth in items (vi) or (vii) above as applied to it; (x) the issuer of a Letter of Credit </w:t>
      </w:r>
      <w:r>
        <w:rPr>
          <w:strike/>
        </w:rPr>
        <w:t>{(defined in Section 16)}</w:t>
      </w:r>
      <w:r>
        <w:rPr/>
        <w:t xml:space="preserve"> provided pursuant to </w:t>
      </w:r>
      <w:r>
        <w:rPr>
          <w:u w:val="single"/>
        </w:rPr>
        <w:t xml:space="preserve">Section </w:t>
      </w:r>
      <w:r>
        <w:rPr>
          <w:u w:val="double"/>
        </w:rPr>
        <w:fldChar w:fldCharType="begin"/>
      </w:r>
      <w:r>
        <w:rPr>
          <w:u w:val="double"/>
        </w:rPr>
        <w:instrText xml:space="preserve"> REF _Ref599311 \r \r \h </w:instrText>
      </w:r>
      <w:r>
        <w:rPr>
          <w:u w:val="double"/>
        </w:rPr>
        <w:fldChar w:fldCharType="separate"/>
      </w:r>
      <w:r>
        <w:rPr>
          <w:u w:val="double"/>
        </w:rPr>
      </w:r>
      <w:r>
        <w:rPr>
          <w:u w:val="double"/>
        </w:rPr>
        <w:fldChar w:fldCharType="end"/>
      </w:r>
      <w:r>
        <w:rPr/>
        <w:t xml:space="preserve"> fails to comply with or perform its obligations under such Letter of Credit if such failure shall be continuing after the lapse of any applicable grace period, or disaffirms, disclaims, repudiates or rejects, in whole or in part, or challenges the validity of, such Letter of Credit, or takes or suffers any actions set forth in item (vi) above as applied to it, or such Letter of Credit </w:t>
      </w:r>
      <w:r>
        <w:rPr>
          <w:u w:val="double"/>
        </w:rPr>
        <w:t xml:space="preserve">{is not replaced, renewed or extended when required under Section </w:t>
      </w:r>
      <w:r>
        <w:rPr>
          <w:u w:val="double"/>
        </w:rPr>
        <w:fldChar w:fldCharType="begin"/>
      </w:r>
      <w:r>
        <w:rPr>
          <w:u w:val="double"/>
        </w:rPr>
        <w:instrText xml:space="preserve"> REF _Ref599311 \r \r \h </w:instrText>
      </w:r>
      <w:r>
        <w:rPr>
          <w:u w:val="double"/>
        </w:rPr>
        <w:fldChar w:fldCharType="separate"/>
      </w:r>
      <w:r>
        <w:rPr>
          <w:u w:val="double"/>
        </w:rPr>
      </w:r>
      <w:r>
        <w:rPr>
          <w:u w:val="double"/>
        </w:rPr>
        <w:fldChar w:fldCharType="end"/>
      </w:r>
      <w:r>
        <w:rPr>
          <w:u w:val="double"/>
        </w:rPr>
        <w:t>, or}</w:t>
      </w:r>
      <w:r>
        <w:rPr/>
        <w:t xml:space="preserve"> expires or terminates or fails or ceases to be in full force and effect at any time during the term of the Transaction for which it is issued without having been replaced, or such issuer fails to maintain the Rating Level </w:t>
      </w:r>
      <w:r>
        <w:rPr>
          <w:strike/>
        </w:rPr>
        <w:t>{(defined in Section 16)}</w:t>
      </w:r>
      <w:r>
        <w:rPr/>
        <w:t xml:space="preserve"> without the Letter of Credit having been replaced by another issuer satisfactory to UBS; or (xi) an event of default occurs (howsoever determined) with respect to UBS, as Defaulting Party </w:t>
      </w:r>
      <w:r>
        <w:rPr>
          <w:b/>
          <w:u w:val="double"/>
        </w:rPr>
        <w:t>{[Note:    UBS Canada guarantee or credit support issue]</w:t>
      </w:r>
      <w:r>
        <w:rPr>
          <w:u w:val="double"/>
        </w:rPr>
        <w:t>}</w:t>
      </w:r>
      <w:r>
        <w:rPr/>
        <w:t xml:space="preserve">, or counterparty, or guarantor of counterparty, as Defaulting Party </w:t>
      </w:r>
      <w:r>
        <w:rPr>
          <w:b/>
          <w:u w:val="double"/>
        </w:rPr>
        <w:t>{[}</w:t>
      </w:r>
      <w:r>
        <w:rPr>
          <w:b/>
        </w:rPr>
        <w:t>(individually or collectively)</w:t>
      </w:r>
      <w:r>
        <w:rPr>
          <w:b/>
          <w:u w:val="double"/>
        </w:rPr>
        <w:t>{] [Note:    What is intended here?]</w:t>
      </w:r>
      <w:r>
        <w:rPr>
          <w:u w:val="double"/>
        </w:rPr>
        <w:t>}</w:t>
      </w:r>
      <w:r>
        <w:rPr/>
        <w:t xml:space="preserve">, under any one or more agreements or instruments relating to indebtedness for borrowed money or the payment of money under any </w:t>
      </w:r>
      <w:r>
        <w:rPr>
          <w:b/>
          <w:u w:val="double"/>
        </w:rPr>
        <w:t>{[}</w:t>
      </w:r>
      <w:r>
        <w:rPr>
          <w:b/>
        </w:rPr>
        <w:t xml:space="preserve">forward contract, swap agreement, or </w:t>
      </w:r>
      <w:r>
        <w:rPr>
          <w:b/>
          <w:strike/>
        </w:rPr>
        <w:t>{commodity}</w:t>
      </w:r>
      <w:r>
        <w:rPr>
          <w:b/>
        </w:rPr>
        <w:t xml:space="preserve"> </w:t>
      </w:r>
      <w:r>
        <w:rPr>
          <w:b/>
          <w:u w:val="double"/>
        </w:rPr>
        <w:t>{commodities}</w:t>
      </w:r>
      <w:r>
        <w:rPr>
          <w:b/>
        </w:rPr>
        <w:t xml:space="preserve"> contract</w:t>
      </w:r>
      <w:r>
        <w:rPr>
          <w:b/>
          <w:u w:val="double"/>
        </w:rPr>
        <w:t>{] [Note:    BIA and EFC issue]}</w:t>
      </w:r>
      <w:r>
        <w:rPr/>
        <w:t xml:space="preserve"> in an amount of not less than the Threshold Amount which has resulted in such amount becoming, or becoming capable at such time of being declared, due and payable under the applicable agreement or instrument, before it would otherwise have been due and payable, or a default </w:t>
      </w:r>
      <w:r>
        <w:rPr>
          <w:b/>
          <w:u w:val="double"/>
        </w:rPr>
        <w:t>{[}</w:t>
      </w:r>
      <w:r>
        <w:rPr>
          <w:b/>
        </w:rPr>
        <w:t>(individually or collectively)</w:t>
      </w:r>
      <w:r>
        <w:rPr>
          <w:b/>
          <w:u w:val="double"/>
        </w:rPr>
        <w:t>{] [Note:    What is intended here?]}</w:t>
      </w:r>
      <w:r>
        <w:rPr/>
        <w:t xml:space="preserve">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(xi)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w:t>
      </w:r>
      <w:r>
        <w:rPr>
          <w:b/>
          <w:u w:val="double"/>
        </w:rPr>
        <w:t>{[}</w:t>
      </w:r>
      <w:r>
        <w:rPr>
          <w:b/>
        </w:rPr>
        <w:t>an interested party</w:t>
      </w:r>
      <w:r>
        <w:rPr>
          <w:b/>
          <w:u w:val="double"/>
        </w:rPr>
        <w:t>{] [Note:    What is intended here?]</w:t>
      </w:r>
      <w:r>
        <w:rPr>
          <w:u w:val="double"/>
        </w:rPr>
        <w:t>}</w:t>
      </w:r>
      <w:r>
        <w:rPr/>
        <w:t>.</w:t>
      </w:r>
    </w:p>
    <w:p>
      <w:pPr>
        <w:pStyle w:val="Normal"/>
        <w:bidi w:val="0"/>
        <w:rPr>
          <w:b/>
        </w:rPr>
      </w:pPr>
      <w:r>
        <w:rPr/>
        <w:t>"</w:t>
      </w:r>
      <w:r>
        <w:rPr>
          <w:u w:val="single"/>
        </w:rPr>
        <w:t>Force Majeure</w:t>
      </w:r>
      <w:r>
        <w:rPr/>
        <w:t xml:space="preserve">" means </w:t>
      </w:r>
      <w:r>
        <w:rPr>
          <w:strike/>
        </w:rPr>
        <w:t>{an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Force Majeure. To the extent set forth above, Force Majeure shall include an event of Force Majeure occurring with respect to the obligations and facilities of transporters.}</w:t>
      </w:r>
      <w:r>
        <w:rPr>
          <w:u w:val="double"/>
        </w:rPr>
        <w:t xml:space="preserve">{: (i) if the Delivery Point is NIT, only an interruption, curtailment or prorationing of NOVA Inventory Transfer service, which affects all parties who have scheduled or nominated for deliveries or receipts to take place at or by NIT on that day.    On any day or any portion of a day that there is such a Force Majeure, Seller shall schedule or nominate for delivery to Buyer and Buyer shall schedule or nominate receipt from Seller, that percentage of the DCQ which is equal to the percentage amount of gas which according to NOVA had been scheduled or nominated by all parties for NOVA Inventory Transfer and which NOVA is not interrupting, curtailing or prorationing; and (ii) if the Delivery Point is other than NIT, only interruptions or curtailments of firm service at the Delivery Point (and, for certainty, not upstream or downstream of the Delivery Point) by Seller’s transporter or Buyer’s transporter of gas to the Delivery Point, regardless of whether Seller's transporter or Buyer's transporter declares Force Majeure.    On any day or portion of a day that there is such a Force Majeure, both parties’ obligations shall be reduced by the same percentage that Seller's transporter or Buyer's transporter interrupts or curtails firm service at the Delivery Point.    </w:t>
      </w:r>
      <w:r>
        <w:rPr>
          <w:b/>
          <w:u w:val="double"/>
        </w:rPr>
        <w:t>[Note:    Canadian convention.]}</w:t>
      </w:r>
    </w:p>
    <w:p>
      <w:pPr>
        <w:pStyle w:val="Normal"/>
        <w:widowControl w:val="false"/>
        <w:suppressAutoHyphens w:val="true"/>
        <w:bidi w:val="0"/>
        <w:spacing w:before="0" w:after="240"/>
        <w:jc w:val="both"/>
        <w:rPr/>
      </w:pPr>
      <w:r>
        <w:rPr/>
        <w:t>"</w:t>
      </w:r>
      <w:r>
        <w:rPr>
          <w:u w:val="single"/>
        </w:rPr>
        <w:t>Gains</w:t>
      </w:r>
      <w:r>
        <w:rPr/>
        <w:t xml:space="preserve">" means, with respect to a party, an amount equal to the present value of the economic benefit (exclusive of costs), if any, to it resulting from the termination of its obligations with respect to a Transaction, determined in a commercially reasonable manner. </w:t>
      </w:r>
    </w:p>
    <w:p>
      <w:pPr>
        <w:pStyle w:val="Normal"/>
        <w:widowControl w:val="false"/>
        <w:suppressAutoHyphens w:val="true"/>
        <w:bidi w:val="0"/>
        <w:spacing w:before="0" w:after="240"/>
        <w:jc w:val="both"/>
        <w:rPr/>
      </w:pPr>
      <w:r>
        <w:rPr/>
        <w:t>"</w:t>
      </w:r>
      <w:r>
        <w:rPr>
          <w:u w:val="single"/>
        </w:rPr>
        <w:t>Interest Rate</w:t>
      </w:r>
      <w:r>
        <w:rPr/>
        <w:t xml:space="preserve">" means a per annum rate of interest equal to the </w:t>
      </w:r>
      <w:r>
        <w:rPr>
          <w:strike/>
        </w:rPr>
        <w:t>{prime lending rate as may from time to time be published in The Wall Street Journal under "Money Rates"}</w:t>
      </w:r>
      <w:r>
        <w:rPr/>
        <w:t xml:space="preserve"> </w:t>
      </w:r>
      <w:r>
        <w:rPr>
          <w:u w:val="double"/>
        </w:rPr>
        <w:t xml:space="preserve">{commercial prime lending rate of </w:t>
      </w:r>
      <w:r>
        <w:rPr>
          <w:b/>
          <w:u w:val="double"/>
        </w:rPr>
        <w:t>[Canadian Imperial Bank of Commerce]}</w:t>
      </w:r>
      <w:r>
        <w:rPr/>
        <w:t xml:space="preserve"> plus two percent; provided</w:t>
      </w:r>
      <w:r>
        <w:rPr>
          <w:strike/>
        </w:rPr>
        <w:t>{,}</w:t>
      </w:r>
      <w:r>
        <w:rPr/>
        <w:t xml:space="preserve"> the Interest Rate </w:t>
      </w:r>
      <w:r>
        <w:rPr>
          <w:strike/>
        </w:rPr>
        <w:t>{may}</w:t>
      </w:r>
      <w:r>
        <w:rPr/>
        <w:t xml:space="preserve"> </w:t>
      </w:r>
      <w:r>
        <w:rPr>
          <w:u w:val="double"/>
        </w:rPr>
        <w:t>{shall}</w:t>
      </w:r>
      <w:r>
        <w:rPr/>
        <w:t xml:space="preserve"> never exceed the maximum </w:t>
      </w:r>
      <w:r>
        <w:rPr>
          <w:strike/>
        </w:rPr>
        <w:t>{lawful rate under applicable}</w:t>
      </w:r>
      <w:r>
        <w:rPr/>
        <w:t xml:space="preserve"> </w:t>
      </w:r>
      <w:r>
        <w:rPr>
          <w:u w:val="double"/>
        </w:rPr>
        <w:t>{rate of interest permitted by}</w:t>
      </w:r>
      <w:r>
        <w:rPr/>
        <w:t xml:space="preserve"> law.</w:t>
      </w:r>
    </w:p>
    <w:p>
      <w:pPr>
        <w:pStyle w:val="Normal"/>
        <w:widowControl w:val="false"/>
        <w:suppressAutoHyphens w:val="true"/>
        <w:bidi w:val="0"/>
        <w:spacing w:before="0" w:after="240"/>
        <w:jc w:val="both"/>
        <w:rPr/>
      </w:pPr>
      <w:r>
        <w:rPr/>
        <w:t>"</w:t>
      </w:r>
      <w:r>
        <w:rPr>
          <w:u w:val="single"/>
        </w:rPr>
        <w:t>Losses</w:t>
      </w:r>
      <w:r>
        <w:rPr/>
        <w:t>" means, with respect to a party, an amount equal to the present value of the economic loss (exclusive of Costs), if any, to it resulting from the termination of its obligations with respect to a Transaction.</w:t>
      </w:r>
    </w:p>
    <w:p>
      <w:pPr>
        <w:pStyle w:val="Normal"/>
        <w:widowControl w:val="false"/>
        <w:suppressAutoHyphens w:val="true"/>
        <w:bidi w:val="0"/>
        <w:spacing w:before="0" w:after="240"/>
        <w:jc w:val="both"/>
        <w:rPr/>
      </w:pPr>
      <w:r>
        <w:rPr/>
        <w:t>"</w:t>
      </w:r>
      <w:r>
        <w:rPr>
          <w:u w:val="single"/>
        </w:rPr>
        <w:t>Market Disruption Event</w:t>
      </w:r>
      <w:r>
        <w:rPr/>
        <w:t xml:space="preserve">" means, with respect to the relevant price source, any of the following events (the existence of which shall be determined in good faith by UBS):    (i) the failure of the price source to announce or publish information necessary for determining the </w:t>
      </w:r>
      <w:r>
        <w:rPr>
          <w:strike/>
        </w:rPr>
        <w:t>{Spot Price and/or the Contract Price; (ii) the}</w:t>
      </w:r>
      <w:r>
        <w:rPr/>
        <w:t xml:space="preserve"> </w:t>
      </w:r>
      <w:r>
        <w:rPr>
          <w:u w:val="double"/>
        </w:rPr>
        <w:t>{Contract Price or the AECO Day Price (or any other published price used to determine a Replacement Price Differential); (ii) the}</w:t>
      </w:r>
      <w:r>
        <w:rPr/>
        <w:t xml:space="preserve"> failure of trading to commence or the permanent discontinuation or material suspension of trading in the relevant futures contract, options contract or commodity on the exchange </w:t>
      </w:r>
      <w:r>
        <w:rPr>
          <w:strike/>
        </w:rPr>
        <w:t>{or market (e.g., NYMEX)}</w:t>
      </w:r>
      <w:r>
        <w:rPr>
          <w:u w:val="double"/>
        </w:rPr>
        <w:t>{(the "Exchange") or in the market (the "OTC Market")}</w:t>
      </w:r>
      <w:r>
        <w:rPr/>
        <w:t xml:space="preserve"> acting as the price source</w:t>
      </w:r>
      <w:r>
        <w:rPr>
          <w:strike/>
        </w:rPr>
        <w:t>{(the "Exchange"); (iii) the}</w:t>
      </w:r>
      <w:r>
        <w:rPr>
          <w:u w:val="double"/>
        </w:rPr>
        <w:t>{; (iii) the}</w:t>
      </w:r>
      <w:r>
        <w:rPr/>
        <w:t xml:space="preserve"> temporary or permanent discontinuance or unavailability of any relevant price source; </w:t>
      </w:r>
      <w:r>
        <w:rPr>
          <w:strike/>
        </w:rPr>
        <w:t>{(iv) the}</w:t>
      </w:r>
      <w:r>
        <w:rPr>
          <w:u w:val="double"/>
        </w:rPr>
        <w:t>{(iv) the}</w:t>
      </w:r>
      <w:r>
        <w:rPr/>
        <w:t xml:space="preserve"> temporary or permanent closing of any Exchange </w:t>
      </w:r>
      <w:r>
        <w:rPr>
          <w:u w:val="double"/>
        </w:rPr>
        <w:t>{or the cessation of trading in any OTC Market}</w:t>
      </w:r>
      <w:r>
        <w:rPr/>
        <w:t xml:space="preserve"> acting as the price source; </w:t>
      </w:r>
      <w:r>
        <w:rPr>
          <w:strike/>
        </w:rPr>
        <w:t>{(v) the}</w:t>
      </w:r>
      <w:r>
        <w:rPr>
          <w:u w:val="double"/>
        </w:rPr>
        <w:t>{(v) the}</w:t>
      </w:r>
      <w:r>
        <w:rPr/>
        <w:t xml:space="preserve"> imposition of trading limits by </w:t>
      </w:r>
      <w:r>
        <w:rPr>
          <w:strike/>
        </w:rPr>
        <w:t>{the}</w:t>
      </w:r>
      <w:r>
        <w:rPr/>
        <w:t xml:space="preserve"> </w:t>
      </w:r>
      <w:r>
        <w:rPr>
          <w:u w:val="double"/>
        </w:rPr>
        <w:t>{an}</w:t>
      </w:r>
      <w:r>
        <w:rPr/>
        <w:t xml:space="preserve"> Exchange </w:t>
      </w:r>
      <w:r>
        <w:rPr>
          <w:u w:val="double"/>
        </w:rPr>
        <w:t>{or in an OTC Market}</w:t>
      </w:r>
      <w:r>
        <w:rPr/>
        <w:t xml:space="preserve"> such that there are limits on the range within which the price of the relevant commodity may fluctuate in the prompt month and the closing or settlement price of such commodity on such day is at the upper or lower limit of that range; </w:t>
      </w:r>
      <w:r>
        <w:rPr>
          <w:strike/>
        </w:rPr>
        <w:t>{(vi) a}</w:t>
      </w:r>
      <w:r>
        <w:rPr>
          <w:u w:val="double"/>
        </w:rPr>
        <w:t>{(vi) a}</w:t>
      </w:r>
      <w:r>
        <w:rPr/>
        <w:t xml:space="preserve"> material change in the formula for or the method of determining the </w:t>
      </w:r>
      <w:r>
        <w:rPr>
          <w:strike/>
        </w:rPr>
        <w:t>{Spot Price and/or Contract Price; or (vii) a }</w:t>
      </w:r>
      <w:r>
        <w:rPr>
          <w:u w:val="double"/>
        </w:rPr>
        <w:t>{Contract Price or the AECO Day Price (or any other published price used to determine a Replacement Price Differential); or (vii) a}</w:t>
      </w:r>
      <w:r>
        <w:rPr/>
        <w:t xml:space="preserve"> material change in the content, composition or constitution of the relevant commodity.</w:t>
      </w:r>
    </w:p>
    <w:p>
      <w:pPr>
        <w:pStyle w:val="Normal"/>
        <w:widowControl w:val="false"/>
        <w:suppressAutoHyphens w:val="true"/>
        <w:bidi w:val="0"/>
        <w:spacing w:before="0" w:after="240"/>
        <w:jc w:val="both"/>
        <w:rPr/>
      </w:pPr>
      <w:r>
        <w:rPr/>
        <w:t>"</w:t>
      </w:r>
      <w:r>
        <w:rPr>
          <w:u w:val="single"/>
        </w:rPr>
        <w:t>Merger Event</w:t>
      </w:r>
      <w:r>
        <w:rPr/>
        <w:t xml:space="preserve">" means, with respect to a party or other entity, that such party or other entity, consolidates or amalgamates with, or merges into or with, or transfers substantially all of its assets to another entity and </w:t>
      </w:r>
      <w:r>
        <w:rPr>
          <w:strike/>
        </w:rPr>
        <w:t>{(i) the}</w:t>
      </w:r>
      <w:r>
        <w:rPr>
          <w:u w:val="double"/>
        </w:rPr>
        <w:t>{(i) the}</w:t>
      </w:r>
      <w:r>
        <w:rPr/>
        <w:t xml:space="preserve"> resulting entity fails to assume all of the obligations of such party or other entity hereunder or </w:t>
      </w:r>
      <w:r>
        <w:rPr>
          <w:strike/>
        </w:rPr>
        <w:t>{(ii) the}</w:t>
      </w:r>
      <w:r>
        <w:rPr>
          <w:u w:val="double"/>
        </w:rPr>
        <w:t>{(ii) the}</w:t>
      </w:r>
      <w:r>
        <w:rPr/>
        <w:t xml:space="preserve"> benefits of any credit support provided pursuant to </w:t>
      </w:r>
      <w:r>
        <w:rPr>
          <w:u w:val="single"/>
        </w:rPr>
        <w:t xml:space="preserve">Section </w:t>
      </w:r>
      <w:r>
        <w:rPr>
          <w:u w:val="double"/>
        </w:rPr>
        <w:fldChar w:fldCharType="begin"/>
      </w:r>
      <w:r>
        <w:rPr>
          <w:u w:val="double"/>
        </w:rPr>
        <w:instrText xml:space="preserve"> REF _Ref599311 \r \r \h </w:instrText>
      </w:r>
      <w:r>
        <w:rPr>
          <w:u w:val="double"/>
        </w:rPr>
        <w:fldChar w:fldCharType="separate"/>
      </w:r>
      <w:r>
        <w:rPr>
          <w:u w:val="double"/>
        </w:rPr>
      </w:r>
      <w:r>
        <w:rPr>
          <w:u w:val="double"/>
        </w:rPr>
        <w:fldChar w:fldCharType="end"/>
      </w:r>
      <w:r>
        <w:rPr/>
        <w:t xml:space="preserve"> fail to extend to the performance by such resulting, surviving or transferee entity of its obligations hereunder or </w:t>
      </w:r>
      <w:r>
        <w:rPr>
          <w:strike/>
        </w:rPr>
        <w:t>{(iii) the}</w:t>
      </w:r>
      <w:r>
        <w:rPr>
          <w:u w:val="double"/>
        </w:rPr>
        <w:t>{(iii) the}</w:t>
      </w:r>
      <w:r>
        <w:rPr/>
        <w:t xml:space="preserve"> resulting </w:t>
      </w:r>
      <w:r>
        <w:rPr>
          <w:strike/>
        </w:rPr>
        <w:t>{entity's creditworthiness}</w:t>
      </w:r>
      <w:r>
        <w:rPr/>
        <w:t xml:space="preserve"> </w:t>
      </w:r>
      <w:r>
        <w:rPr>
          <w:u w:val="double"/>
        </w:rPr>
        <w:t>{entity}</w:t>
      </w:r>
      <w:r>
        <w:rPr/>
        <w:t xml:space="preserve"> is materially </w:t>
      </w:r>
      <w:r>
        <w:rPr>
          <w:strike/>
        </w:rPr>
        <w:t>{weaker}</w:t>
      </w:r>
      <w:r>
        <w:rPr/>
        <w:t xml:space="preserve"> </w:t>
      </w:r>
      <w:r>
        <w:rPr>
          <w:u w:val="double"/>
        </w:rPr>
        <w:t>{less creditworthy}</w:t>
      </w:r>
      <w:r>
        <w:rPr/>
        <w:t xml:space="preserve"> than that of such party or other entity immediately prior to such action.</w:t>
      </w:r>
    </w:p>
    <w:p>
      <w:pPr>
        <w:pStyle w:val="Normal"/>
        <w:bidi w:val="0"/>
        <w:rPr>
          <w:u w:val="double"/>
        </w:rPr>
      </w:pPr>
      <w:r>
        <w:rPr>
          <w:u w:val="double"/>
        </w:rPr>
        <w:t>{"NIT" or "NOVA Inventory Transfer" means the gas accounting and inventory transfer procedures used by NOVA for gas scheduled or nominated for delivery or receipt through the facilities of NOVA in the Province of Alberta.</w:t>
      </w:r>
    </w:p>
    <w:p>
      <w:pPr>
        <w:pStyle w:val="Normal"/>
        <w:widowControl w:val="false"/>
        <w:suppressAutoHyphens w:val="true"/>
        <w:bidi w:val="0"/>
        <w:spacing w:before="0" w:after="240"/>
        <w:jc w:val="both"/>
        <w:rPr/>
      </w:pPr>
      <w:r>
        <w:rPr>
          <w:u w:val="double"/>
        </w:rPr>
        <w:t>"NOVA" means NOVA Gas Transmission Ltd. or its successor.}</w:t>
      </w:r>
      <w:r>
        <w:rPr/>
        <w:t xml:space="preserve"> </w:t>
      </w:r>
    </w:p>
    <w:p>
      <w:pPr>
        <w:pStyle w:val="Normal"/>
        <w:widowControl w:val="false"/>
        <w:suppressAutoHyphens w:val="true"/>
        <w:bidi w:val="0"/>
        <w:spacing w:before="0" w:after="240"/>
        <w:jc w:val="both"/>
        <w:rPr/>
      </w:pPr>
      <w:r>
        <w:rPr/>
        <w:t>"</w:t>
      </w:r>
      <w:r>
        <w:rPr>
          <w:u w:val="single"/>
        </w:rPr>
        <w:t>Owed</w:t>
      </w:r>
      <w:r>
        <w:rPr/>
        <w:t xml:space="preserve">" means any amounts owed or otherwise accrued and payable (regardless of whether such amounts have been or could be invoiced) as of </w:t>
      </w:r>
      <w:r>
        <w:rPr>
          <w:strike/>
        </w:rPr>
        <w:t>{the}</w:t>
      </w:r>
      <w:r>
        <w:rPr/>
        <w:t xml:space="preserve"> </w:t>
      </w:r>
      <w:r>
        <w:rPr>
          <w:u w:val="double"/>
        </w:rPr>
        <w:t>{an}</w:t>
      </w:r>
      <w:r>
        <w:rPr/>
        <w:t xml:space="preserve"> Early Termination Date.</w:t>
      </w:r>
    </w:p>
    <w:p>
      <w:pPr>
        <w:pStyle w:val="Normal"/>
        <w:bidi w:val="0"/>
        <w:rPr>
          <w:strike/>
        </w:rPr>
      </w:pPr>
      <w:r>
        <w:rPr/>
        <w:t>"</w:t>
      </w:r>
      <w:r>
        <w:rPr>
          <w:u w:val="single"/>
        </w:rPr>
        <w:t>Replacement Price Differential</w:t>
      </w:r>
      <w:r>
        <w:rPr/>
        <w:t>" means</w:t>
      </w:r>
      <w:r>
        <w:rPr>
          <w:u w:val="double"/>
        </w:rPr>
        <w:t>{, for a quantity equal to the Deficiency Quantity for any day,}</w:t>
      </w:r>
      <w:r>
        <w:rPr/>
        <w:t xml:space="preserve"> (i) in the event of a Seller's Deficiency Breach, the positive difference</w:t>
      </w:r>
      <w:r>
        <w:rPr>
          <w:strike/>
        </w:rPr>
        <w:t>{, if any,}</w:t>
      </w:r>
      <w:r>
        <w:rPr/>
        <w:t xml:space="preserve"> obtained by subtracting the Contract Price </w:t>
      </w:r>
      <w:r>
        <w:rPr>
          <w:u w:val="single"/>
        </w:rPr>
        <w:t>from</w:t>
      </w:r>
      <w:r>
        <w:rPr/>
        <w:t xml:space="preserve"> </w:t>
      </w:r>
      <w:r>
        <w:rPr>
          <w:strike/>
        </w:rPr>
        <w:t>{the Spot Price (below defined) for the day in which the default occurred, and }</w:t>
      </w:r>
      <w:r>
        <w:rPr>
          <w:u w:val="double"/>
        </w:rPr>
        <w:t>{(a) the AECO Day Price for the relevant day, if the Delivery Point is "AECO "C"" or NIT, or (b) the cost, including transportation and other basis differential adjustments, as determined by Buyer, acting reasonably, applicable to incremental, arm's length purchases from a third party on the relevant day, if the Delivery Point is other than AECO "C" or NIT, or}</w:t>
      </w:r>
      <w:r>
        <w:rPr/>
        <w:t xml:space="preserve"> (ii) in the event of a Buyer's Deficiency Breach, the positive difference</w:t>
      </w:r>
      <w:r>
        <w:rPr>
          <w:strike/>
        </w:rPr>
        <w:t>{, if any,}</w:t>
      </w:r>
      <w:r>
        <w:rPr/>
        <w:t xml:space="preserve"> obtained by subtracting </w:t>
      </w:r>
      <w:r>
        <w:rPr>
          <w:u w:val="double"/>
        </w:rPr>
        <w:t>{from</w:t>
      </w:r>
      <w:r>
        <w:rPr/>
        <w:t xml:space="preserve"> </w:t>
      </w:r>
      <w:r>
        <w:rPr>
          <w:u w:val="double"/>
        </w:rPr>
        <w:t>the Contract Price (a) the AECO Day Price for the relevant day, if the Delivery Point is AECO "C" or NIT or (b) the amount that would be received, as determined by Seller, acting reasonably, applicable to incremental, arm's length sales to a third party, including any transportation and other basis differential adjustments on the relevant day, if the Delivery Point is other than AECO "C" or NIT.}</w:t>
      </w:r>
      <w:r>
        <w:rPr/>
        <w:t xml:space="preserve"> </w:t>
      </w:r>
      <w:r>
        <w:rPr>
          <w:strike/>
        </w:rPr>
        <w:t xml:space="preserve">{the Spot Price for the day in which the default occurred from the Contract Price. </w:t>
      </w:r>
    </w:p>
    <w:p>
      <w:pPr>
        <w:pStyle w:val="Normal"/>
        <w:bidi w:val="0"/>
        <w:rPr>
          <w:strike/>
        </w:rPr>
      </w:pPr>
      <w:r>
        <w:rPr>
          <w:strike/>
        </w:rPr>
      </w:r>
    </w:p>
    <w:p>
      <w:pPr>
        <w:pStyle w:val="Normal"/>
        <w:widowControl w:val="false"/>
        <w:suppressAutoHyphens w:val="true"/>
        <w:bidi w:val="0"/>
        <w:spacing w:before="0" w:after="240"/>
        <w:jc w:val="both"/>
        <w:rPr/>
      </w:pPr>
      <w:r>
        <w:rPr>
          <w:strike/>
        </w:rPr>
        <w:t>"Spot Price" means, subject to Section 6, the "Daily Midpoint" price set forth in Gas Daily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w:t>
      </w:r>
    </w:p>
    <w:p>
      <w:pPr>
        <w:pStyle w:val="Normal"/>
        <w:widowControl w:val="false"/>
        <w:suppressAutoHyphens w:val="true"/>
        <w:bidi w:val="0"/>
        <w:spacing w:before="0" w:after="240"/>
        <w:jc w:val="both"/>
        <w:rPr/>
      </w:pPr>
      <w:r>
        <w:rPr/>
        <w:t>"</w:t>
      </w:r>
      <w:r>
        <w:rPr>
          <w:u w:val="single"/>
        </w:rPr>
        <w:t>Taxes</w:t>
      </w:r>
      <w:r>
        <w:rPr/>
        <w:t xml:space="preserve">" means any or all ad valorem, goods and services, property, occupation, gross receipts, privilege, sales, use, consumption, excise, lease, transaction, and other taxes, governmental charges, licenses, fees, permits and assessments, or </w:t>
      </w:r>
      <w:r>
        <w:rPr>
          <w:strike/>
        </w:rPr>
        <w:t>{increase}</w:t>
      </w:r>
      <w:r>
        <w:rPr/>
        <w:t xml:space="preserve"> </w:t>
      </w:r>
      <w:r>
        <w:rPr>
          <w:u w:val="double"/>
        </w:rPr>
        <w:t>{any increases}</w:t>
      </w:r>
      <w:r>
        <w:rPr/>
        <w:t xml:space="preserve"> therein, other than taxes based on net income or net worth</w:t>
      </w:r>
      <w:r>
        <w:rPr>
          <w:u w:val="double"/>
        </w:rPr>
        <w:t>{, and includes any Canadian federal Goods and Services Tax}</w:t>
      </w:r>
      <w:r>
        <w:rPr/>
        <w:t>.</w:t>
      </w:r>
    </w:p>
    <w:p>
      <w:pPr>
        <w:pStyle w:val="Normal"/>
        <w:widowControl w:val="false"/>
        <w:suppressAutoHyphens w:val="true"/>
        <w:bidi w:val="0"/>
        <w:spacing w:before="0" w:after="240"/>
        <w:jc w:val="both"/>
        <w:rPr/>
      </w:pPr>
      <w:r>
        <w:rPr/>
        <w:t>"</w:t>
      </w:r>
      <w:r>
        <w:rPr>
          <w:u w:val="single"/>
        </w:rPr>
        <w:t>Threshold Amount</w:t>
      </w:r>
      <w:r>
        <w:rPr/>
        <w:t xml:space="preserve">" means, in respect of UBS </w:t>
      </w:r>
      <w:r>
        <w:rPr>
          <w:b/>
          <w:u w:val="double"/>
        </w:rPr>
        <w:t xml:space="preserve">{[Note:    </w:t>
      </w:r>
      <w:r>
        <w:rPr>
          <w:u w:val="double"/>
        </w:rPr>
        <w:t>UBS</w:t>
      </w:r>
      <w:r>
        <w:rPr>
          <w:b/>
        </w:rPr>
        <w:t xml:space="preserve"> </w:t>
      </w:r>
      <w:r>
        <w:rPr>
          <w:b/>
          <w:u w:val="double"/>
        </w:rPr>
        <w:t>Canada guarantee or credit support issue]}</w:t>
      </w:r>
      <w:r>
        <w:rPr/>
        <w:t xml:space="preserve"> and counterparty, or guarantor of counterparty, if applicable, an amount equal to two percent of shareholders' equity (howsoever described) as shown on the most recent annual audited statements of the relevant entity.</w:t>
      </w:r>
    </w:p>
    <w:p>
      <w:pPr>
        <w:pStyle w:val="Normal"/>
        <w:widowControl w:val="false"/>
        <w:suppressAutoHyphens w:val="true"/>
        <w:bidi w:val="0"/>
        <w:spacing w:before="0" w:after="240"/>
        <w:jc w:val="both"/>
        <w:rPr/>
      </w:pPr>
      <w:r>
        <w:rPr/>
      </w:r>
    </w:p>
    <w:p>
      <w:pPr>
        <w:pStyle w:val="Normal"/>
        <w:widowControl w:val="false"/>
        <w:suppressAutoHyphens w:val="true"/>
        <w:bidi w:val="0"/>
        <w:spacing w:before="0" w:after="240"/>
        <w:jc w:val="both"/>
        <w:rPr/>
      </w:pPr>
      <w:r>
        <w:rPr/>
        <w:t xml:space="preserve">This redlined draft, generated by CompareRite (TM) - The Instant Redliner, shows the differences between - </w:t>
      </w:r>
    </w:p>
    <w:p>
      <w:pPr>
        <w:pStyle w:val="Normal"/>
        <w:widowControl w:val="false"/>
        <w:suppressAutoHyphens w:val="true"/>
        <w:bidi w:val="0"/>
        <w:spacing w:before="0" w:after="240"/>
        <w:jc w:val="both"/>
        <w:rPr/>
      </w:pPr>
      <w:r>
        <w:rPr/>
        <w:t>original document      : P:\ESTATE\NEWCO\LEGAL\NEWCO PRECEDENTS\GAS\HOUSTON\ONLINE FIRM GAS GTC WITH COLLATERAL.DOC</w:t>
      </w:r>
    </w:p>
    <w:p>
      <w:pPr>
        <w:pStyle w:val="Normal"/>
        <w:widowControl w:val="false"/>
        <w:suppressAutoHyphens w:val="true"/>
        <w:bidi w:val="0"/>
        <w:spacing w:before="0" w:after="240"/>
        <w:jc w:val="both"/>
        <w:rPr/>
      </w:pPr>
      <w:r>
        <w:rPr/>
        <w:t>and revised document: P:\ESTATE\NEWCO\LEGAL\NEWCO PRECEDENTS\GAS\ONLINE FIRM GAS GTC WITH COLLATERAL.JAN2002_V5.DOC</w:t>
      </w:r>
    </w:p>
    <w:p>
      <w:pPr>
        <w:pStyle w:val="Normal"/>
        <w:widowControl w:val="false"/>
        <w:suppressAutoHyphens w:val="true"/>
        <w:bidi w:val="0"/>
        <w:spacing w:before="0" w:after="240"/>
        <w:jc w:val="both"/>
        <w:rPr/>
      </w:pPr>
      <w:r>
        <w:rPr/>
      </w:r>
    </w:p>
    <w:p>
      <w:pPr>
        <w:pStyle w:val="Normal"/>
        <w:widowControl w:val="false"/>
        <w:suppressAutoHyphens w:val="true"/>
        <w:bidi w:val="0"/>
        <w:spacing w:before="0" w:after="240"/>
        <w:jc w:val="both"/>
        <w:rPr/>
      </w:pPr>
      <w:r>
        <w:rPr/>
        <w:t>CompareRite found    293 change(s) in the text</w:t>
      </w:r>
    </w:p>
    <w:p>
      <w:pPr>
        <w:pStyle w:val="Normal"/>
        <w:widowControl w:val="false"/>
        <w:suppressAutoHyphens w:val="true"/>
        <w:bidi w:val="0"/>
        <w:spacing w:before="0" w:after="240"/>
        <w:jc w:val="both"/>
        <w:rPr/>
      </w:pPr>
      <w:r>
        <w:rPr/>
      </w:r>
    </w:p>
    <w:p>
      <w:pPr>
        <w:pStyle w:val="Normal"/>
        <w:widowControl w:val="false"/>
        <w:suppressAutoHyphens w:val="true"/>
        <w:bidi w:val="0"/>
        <w:spacing w:before="0" w:after="240"/>
        <w:jc w:val="both"/>
        <w:rPr/>
      </w:pPr>
      <w:r>
        <w:rPr/>
        <w:t>Deletions appear as Overstrike text surrounded by {}</w:t>
      </w:r>
    </w:p>
    <w:p>
      <w:pPr>
        <w:pStyle w:val="Normal"/>
        <w:widowControl w:val="false"/>
        <w:suppressAutoHyphens w:val="true"/>
        <w:bidi w:val="0"/>
        <w:spacing w:before="0" w:after="240"/>
        <w:jc w:val="both"/>
        <w:rPr/>
      </w:pPr>
      <w:r>
        <w:rPr/>
        <w:t>Additions appear as Double 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20" w:top="1440" w:footer="288" w:bottom="1339"/>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before="0" w:after="24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bidi w:val="0"/>
      <w:spacing w:before="0" w:after="240"/>
      <w:rPr/>
    </w:pPr>
    <w:r>
      <w:rPr/>
      <w:fldChar w:fldCharType="begin"/>
    </w:r>
    <w:r>
      <w:rPr/>
      <w:instrText xml:space="preserve"> FILENAME \p </w:instrText>
    </w:r>
    <w:r>
      <w:rPr/>
      <w:fldChar w:fldCharType="separate"/>
    </w:r>
    <w:r>
      <w:rPr/>
      <w:t>/mnt/main-storage/datasets/enron-docs/doc/ONLINE_FIRM_GAS_GTC_WITH_COLLATERAL.JAN2002_V5.COMPARE.DOC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bidi w:val="0"/>
      <w:spacing w:before="0" w:after="240"/>
      <w:rPr/>
    </w:pPr>
    <w:r>
      <w:rPr/>
      <w:fldChar w:fldCharType="begin"/>
    </w:r>
    <w:r>
      <w:rPr/>
      <w:instrText xml:space="preserve"> FILENAME \p </w:instrText>
    </w:r>
    <w:r>
      <w:rPr/>
      <w:fldChar w:fldCharType="separate"/>
    </w:r>
    <w:r>
      <w:rPr/>
      <w:t>/mnt/main-storage/datasets/enron-docs/doc/ONLINE_FIRM_GAS_GTC_WITH_COLLATERAL.JAN2002_V5.COMPARE.DOC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before="0" w:after="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0" w:after="0"/>
      <w:jc w:val="end"/>
      <w:rPr/>
    </w:pPr>
    <w:r>
      <w:rPr/>
      <w:t>Canadian Online Firm Gas</w:t>
    </w:r>
  </w:p>
  <w:p>
    <w:pPr>
      <w:pStyle w:val="Header"/>
      <w:bidi w:val="0"/>
      <w:spacing w:before="0" w:after="0"/>
      <w:jc w:val="end"/>
      <w:rPr/>
    </w:pPr>
    <w:r>
      <w:rPr/>
      <w:t>GTC With Credit Support</w:t>
    </w:r>
  </w:p>
  <w:p>
    <w:pPr>
      <w:pStyle w:val="Header"/>
      <w:bidi w:val="0"/>
      <w:spacing w:before="0" w:after="0"/>
      <w:jc w:val="end"/>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Header"/>
      <w:bidi w:val="0"/>
      <w:spacing w:before="0" w:after="0"/>
      <w:jc w:val="end"/>
      <w:rPr>
        <w:rStyle w:val="PageNumber"/>
      </w:rPr>
    </w:pPr>
    <w:r>
      <w:rPr/>
    </w:r>
  </w:p>
  <w:p>
    <w:pPr>
      <w:pStyle w:val="Header"/>
      <w:bidi w:val="0"/>
      <w:spacing w:before="0" w:after="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before="0" w:after="0"/>
      <w:jc w:val="both"/>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before="0" w:after="240"/>
      <w:jc w:val="both"/>
    </w:pPr>
    <w:rPr>
      <w:rFonts w:ascii="Arial" w:hAnsi="Arial" w:eastAsia="Arial" w:cs="Courier New"/>
      <w:color w:val="auto"/>
      <w:kern w:val="2"/>
      <w:sz w:val="20"/>
      <w:szCs w:val="24"/>
      <w:lang w:val="en-CA" w:eastAsia="zh-CN" w:bidi="hi-IN"/>
    </w:rPr>
  </w:style>
  <w:style w:type="character" w:styleId="DefaultParagraphFont">
    <w:name w:val="Default Paragraph Font"/>
    <w:qFormat/>
    <w:rPr>
      <w:sz w:val="20"/>
    </w:rPr>
  </w:style>
  <w:style w:type="character" w:styleId="Definition">
    <w:name w:val="Definition"/>
    <w:qFormat/>
    <w:rPr>
      <w:i/>
      <w:sz w:val="20"/>
    </w:rPr>
  </w:style>
  <w:style w:type="character" w:styleId="CITE">
    <w:name w:val="CITE"/>
    <w:qFormat/>
    <w:rPr>
      <w:i/>
      <w:sz w:val="20"/>
    </w:rPr>
  </w:style>
  <w:style w:type="character" w:styleId="CODE">
    <w:name w:val="CODE"/>
    <w:qFormat/>
    <w:rPr>
      <w:rFonts w:ascii="Courier New" w:hAnsi="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Keyboard">
    <w:name w:val="Keyboard"/>
    <w:qFormat/>
    <w:rPr>
      <w:rFonts w:ascii="Courier New" w:hAnsi="Courier New"/>
      <w:b/>
      <w:sz w:val="20"/>
    </w:rPr>
  </w:style>
  <w:style w:type="character" w:styleId="Sample">
    <w:name w:val="Sample"/>
    <w:qFormat/>
    <w:rPr>
      <w:rFonts w:ascii="Courier New" w:hAnsi="Courier New"/>
      <w:sz w:val="20"/>
    </w:rPr>
  </w:style>
  <w:style w:type="character" w:styleId="Strong">
    <w:name w:val="Strong"/>
    <w:basedOn w:val="DefaultParagraphFont"/>
    <w:qFormat/>
    <w:rPr>
      <w:b/>
    </w:rPr>
  </w:style>
  <w:style w:type="character" w:styleId="Typewriter">
    <w:name w:val="Typewriter"/>
    <w:qFormat/>
    <w:rPr>
      <w:rFonts w:ascii="Courier New" w:hAnsi="Courier New"/>
      <w:sz w:val="20"/>
    </w:rPr>
  </w:style>
  <w:style w:type="character" w:styleId="Variable">
    <w:name w:val="Variable"/>
    <w:qFormat/>
    <w:rPr>
      <w:i/>
      <w:sz w:val="20"/>
    </w:rPr>
  </w:style>
  <w:style w:type="character" w:styleId="HTMLMarkup">
    <w:name w:val="HTML Markup"/>
    <w:qFormat/>
    <w:rPr>
      <w:vanish/>
      <w:color w:val="FF0000"/>
      <w:sz w:val="20"/>
    </w:rPr>
  </w:style>
  <w:style w:type="character" w:styleId="Comment">
    <w:name w:val="Comment"/>
    <w:qFormat/>
    <w:rPr>
      <w:vanish/>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qFormat/>
    <w:pPr>
      <w:widowControl w:val="false"/>
      <w:spacing w:before="0" w:after="0"/>
      <w:jc w:val="both"/>
    </w:pPr>
    <w:rPr>
      <w:rFonts w:ascii="Arial" w:hAnsi="Arial"/>
      <w:sz w:val="20"/>
    </w:rPr>
  </w:style>
  <w:style w:type="paragraph" w:styleId="DefinitionList">
    <w:name w:val="Definition List"/>
    <w:basedOn w:val="Normal"/>
    <w:next w:val="DefinitionTerm"/>
    <w:qFormat/>
    <w:pPr>
      <w:widowControl w:val="false"/>
      <w:spacing w:before="0" w:after="0"/>
      <w:ind w:hanging="0" w:start="360"/>
      <w:jc w:val="both"/>
    </w:pPr>
    <w:rPr>
      <w:rFonts w:ascii="Arial" w:hAnsi="Arial"/>
      <w:sz w:val="20"/>
    </w:rPr>
  </w:style>
  <w:style w:type="paragraph" w:styleId="H1">
    <w:name w:val="H1"/>
    <w:basedOn w:val="Normal"/>
    <w:next w:val="Normal"/>
    <w:qFormat/>
    <w:pPr>
      <w:keepNext w:val="true"/>
      <w:widowControl w:val="false"/>
      <w:spacing w:before="0" w:after="240"/>
      <w:jc w:val="both"/>
    </w:pPr>
    <w:rPr>
      <w:rFonts w:ascii="Arial" w:hAnsi="Arial"/>
      <w:b/>
      <w:kern w:val="2"/>
      <w:sz w:val="48"/>
    </w:rPr>
  </w:style>
  <w:style w:type="paragraph" w:styleId="H2">
    <w:name w:val="H2"/>
    <w:basedOn w:val="Normal"/>
    <w:next w:val="Normal"/>
    <w:qFormat/>
    <w:pPr>
      <w:keepNext w:val="true"/>
      <w:widowControl w:val="false"/>
      <w:spacing w:before="0" w:after="240"/>
      <w:jc w:val="both"/>
    </w:pPr>
    <w:rPr>
      <w:rFonts w:ascii="Arial" w:hAnsi="Arial"/>
      <w:b/>
      <w:sz w:val="36"/>
    </w:rPr>
  </w:style>
  <w:style w:type="paragraph" w:styleId="H3">
    <w:name w:val="H3"/>
    <w:basedOn w:val="Normal"/>
    <w:next w:val="Normal"/>
    <w:qFormat/>
    <w:pPr>
      <w:keepNext w:val="true"/>
      <w:widowControl w:val="false"/>
      <w:spacing w:before="0" w:after="240"/>
      <w:jc w:val="both"/>
    </w:pPr>
    <w:rPr>
      <w:rFonts w:ascii="Arial" w:hAnsi="Arial"/>
      <w:b/>
      <w:sz w:val="28"/>
    </w:rPr>
  </w:style>
  <w:style w:type="paragraph" w:styleId="H4">
    <w:name w:val="H4"/>
    <w:basedOn w:val="Normal"/>
    <w:next w:val="Normal"/>
    <w:qFormat/>
    <w:pPr>
      <w:keepNext w:val="true"/>
      <w:widowControl w:val="false"/>
      <w:spacing w:before="0" w:after="240"/>
      <w:jc w:val="both"/>
    </w:pPr>
    <w:rPr>
      <w:rFonts w:ascii="Arial" w:hAnsi="Arial"/>
      <w:b/>
      <w:sz w:val="20"/>
    </w:rPr>
  </w:style>
  <w:style w:type="paragraph" w:styleId="H5">
    <w:name w:val="H5"/>
    <w:basedOn w:val="Normal"/>
    <w:next w:val="Normal"/>
    <w:qFormat/>
    <w:pPr>
      <w:keepNext w:val="true"/>
      <w:widowControl w:val="false"/>
      <w:spacing w:before="0" w:after="240"/>
      <w:jc w:val="both"/>
    </w:pPr>
    <w:rPr>
      <w:rFonts w:ascii="Arial" w:hAnsi="Arial"/>
      <w:b/>
      <w:sz w:val="20"/>
    </w:rPr>
  </w:style>
  <w:style w:type="paragraph" w:styleId="H6">
    <w:name w:val="H6"/>
    <w:basedOn w:val="Normal"/>
    <w:next w:val="Normal"/>
    <w:qFormat/>
    <w:pPr>
      <w:keepNext w:val="true"/>
      <w:widowControl w:val="false"/>
      <w:spacing w:before="0" w:after="240"/>
      <w:jc w:val="both"/>
    </w:pPr>
    <w:rPr>
      <w:rFonts w:ascii="Arial" w:hAnsi="Arial"/>
      <w:b/>
      <w:sz w:val="16"/>
    </w:rPr>
  </w:style>
  <w:style w:type="paragraph" w:styleId="Address">
    <w:name w:val="Address"/>
    <w:basedOn w:val="Normal"/>
    <w:next w:val="Normal"/>
    <w:qFormat/>
    <w:pPr>
      <w:widowControl w:val="false"/>
      <w:spacing w:before="0" w:after="0"/>
      <w:jc w:val="both"/>
    </w:pPr>
    <w:rPr>
      <w:rFonts w:ascii="Arial" w:hAnsi="Arial"/>
      <w:i/>
      <w:sz w:val="20"/>
    </w:rPr>
  </w:style>
  <w:style w:type="paragraph" w:styleId="Blockquote">
    <w:name w:val="Blockquote"/>
    <w:basedOn w:val="Normal"/>
    <w:qFormat/>
    <w:pPr>
      <w:widowControl w:val="false"/>
      <w:spacing w:before="0" w:after="240"/>
      <w:ind w:hanging="0" w:start="360" w:end="360"/>
      <w:jc w:val="both"/>
    </w:pPr>
    <w:rPr>
      <w:rFonts w:ascii="Arial" w:hAnsi="Arial"/>
      <w:sz w:val="20"/>
    </w:rPr>
  </w:style>
  <w:style w:type="paragraph" w:styleId="Preformatted">
    <w:name w:val="Preformatted"/>
    <w:basedOn w:val="Normal"/>
    <w:qFormat/>
    <w:pPr>
      <w:widowControl w:val="false"/>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both"/>
    </w:pPr>
    <w:rPr>
      <w:rFonts w:ascii="Courier New" w:hAnsi="Courier New"/>
      <w:sz w:val="20"/>
    </w:rPr>
  </w:style>
  <w:style w:type="paragraph" w:styleId="z-BottomofForm">
    <w:name w:val="z-Bottom of Form"/>
    <w:next w:val="Normal"/>
    <w:qFormat/>
    <w:pPr>
      <w:widowControl w:val="false"/>
      <w:pBdr>
        <w:top w:val="double" w:sz="6" w:space="0" w:color="000000"/>
      </w:pBdr>
      <w:bidi w:val="0"/>
      <w:jc w:val="center"/>
    </w:pPr>
    <w:rPr>
      <w:rFonts w:ascii="Arial" w:hAnsi="Arial" w:eastAsia="Arial" w:cs="Courier New"/>
      <w:vanish/>
      <w:color w:val="auto"/>
      <w:kern w:val="2"/>
      <w:sz w:val="16"/>
      <w:szCs w:val="24"/>
      <w:lang w:val="en-CA" w:eastAsia="zh-CN" w:bidi="hi-IN"/>
    </w:rPr>
  </w:style>
  <w:style w:type="paragraph" w:styleId="z-TopofForm">
    <w:name w:val="z-Top of Form"/>
    <w:next w:val="Normal"/>
    <w:qFormat/>
    <w:pPr>
      <w:widowControl w:val="false"/>
      <w:pBdr>
        <w:bottom w:val="double" w:sz="6" w:space="0" w:color="000000"/>
      </w:pBdr>
      <w:bidi w:val="0"/>
      <w:jc w:val="center"/>
    </w:pPr>
    <w:rPr>
      <w:rFonts w:ascii="Arial" w:hAnsi="Arial" w:eastAsia="Arial" w:cs="Courier New"/>
      <w:vanish/>
      <w:color w:val="auto"/>
      <w:kern w:val="2"/>
      <w:sz w:val="16"/>
      <w:szCs w:val="24"/>
      <w:lang w:val="en-CA" w:eastAsia="zh-CN" w:bidi="hi-IN"/>
    </w:rPr>
  </w:style>
  <w:style w:type="paragraph" w:styleId="Sharon1">
    <w:name w:val="Sharon1"/>
    <w:basedOn w:val="Normal"/>
    <w:qFormat/>
    <w:pPr>
      <w:tabs>
        <w:tab w:val="left" w:pos="720" w:leader="none"/>
      </w:tabs>
      <w:spacing w:before="0" w:after="240"/>
      <w:jc w:val="both"/>
    </w:pPr>
    <w:rPr>
      <w:rFonts w:ascii="Arial" w:hAnsi="Arial"/>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spacing w:before="0" w:after="0"/>
      <w:jc w:val="both"/>
    </w:pPr>
    <w:rPr>
      <w:rFonts w:ascii="Arial" w:hAnsi="Arial"/>
      <w:sz w:val="20"/>
    </w:rPr>
  </w:style>
  <w:style w:type="paragraph" w:styleId="Footer">
    <w:name w:val="footer"/>
    <w:basedOn w:val="Normal"/>
    <w:pPr>
      <w:widowControl w:val="false"/>
      <w:tabs>
        <w:tab w:val="clear" w:pos="720"/>
        <w:tab w:val="center" w:pos="4320" w:leader="none"/>
        <w:tab w:val="right" w:pos="8640" w:leader="none"/>
      </w:tabs>
      <w:spacing w:before="0" w:after="240"/>
      <w:jc w:val="both"/>
    </w:pPr>
    <w:rPr>
      <w:rFonts w:ascii="Arial" w:hAnsi="Arial"/>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7623</Words>
  <CharactersWithSpaces>43452</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2002-02-04T09:38:00Z</dcterms:created>
  <dc:creator>Edmund Cooper</dc:creator>
  <dc:description/>
  <cp:keywords>gtc</cp:keywords>
  <dc:language>en-CA</dc:language>
  <cp:lastModifiedBy/>
  <cp:lastPrinted>2002-02-04T15:56:00Z</cp:lastPrinted>
  <dcterms:modified xsi:type="dcterms:W3CDTF">2002-02-05T13:13:00Z</dcterms:modified>
  <cp:revision>19</cp:revision>
  <dc:subject>NIT</dc:subject>
  <dc:title>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Operator">
    <vt:lpwstr>scrawfo3</vt:lpwstr>
  </property>
</Properties>
</file>