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ED&amp;F Mann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Rec’d comments from cpy counsel 10/31/00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 called and said cpy should be sending us their form of NDA.  Called Colin Heffron at 011 44 20 7422 1001 and left message.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counterparty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draft to counterparty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original to Mike Slade in London for re-execution so we can send to cpy 10/26/00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Dovie Keptra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Andy for signature 11/13/00.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/mnt/main-storage/datasets/enron-docs/doc/ONLINE_CONFIDENTIALITY_AGREEMENTS-ea9dd18b9f46f37970413772ba05818ebb539508f01d0a9a6cf3725b6280d7aa.doc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2000-05-04T13:20:00Z</dcterms:created>
  <dc:creator>ebraden</dc:creator>
  <dc:description/>
  <dc:language>en-CA</dc:language>
  <cp:lastModifiedBy>tjones</cp:lastModifiedBy>
  <cp:lastPrinted>2000-10-26T15:56:00Z</cp:lastPrinted>
  <dcterms:modified xsi:type="dcterms:W3CDTF">2000-11-13T20:37:00Z</dcterms:modified>
  <cp:revision>132</cp:revision>
  <dc:subject/>
  <dc:title>CONFIDENTIALITY AGREEMENTS</dc:title>
</cp:coreProperties>
</file>