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 called and said cpy should be sending us their form of NDA.  Called Colin Heffron at 011 44 20 7422 1001 and left message.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emailed to cpy 11/22/00.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counterparty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original to Mike Slade in London for re-execution so we can send to cpy 10/26/00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Dovie Keptra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/mnt/main-storage/datasets/enron-docs/doc/ONLINE_CONFIDENTIALITY_AGREEMENTS-4972eea19ba251c4a2e421f14d2cf24c8f7ca7e23f8d70368f66e9f9cdc7b8b8.doc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2000-05-04T13:20:00Z</dcterms:created>
  <dc:creator>ebraden</dc:creator>
  <dc:description/>
  <dc:language>en-CA</dc:language>
  <cp:lastModifiedBy>tjones</cp:lastModifiedBy>
  <cp:lastPrinted>2000-12-08T11:35:00Z</cp:lastPrinted>
  <dcterms:modified xsi:type="dcterms:W3CDTF">2000-12-18T19:12:00Z</dcterms:modified>
  <cp:revision>153</cp:revision>
  <dc:subject/>
  <dc:title>CONFIDENTIALITY AGREEMENTS</dc:title>
</cp:coreProperties>
</file>