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ing"/>
        <w:rPr>
          <w:sz w:val="24"/>
        </w:rPr>
      </w:pPr>
      <w:r>
        <w:rPr>
          <w:sz w:val="24"/>
        </w:rPr>
        <w:t>ENRONONLINE</w:t>
      </w:r>
    </w:p>
    <w:p>
      <w:pPr>
        <w:pStyle w:val="Heading"/>
        <w:rPr>
          <w:sz w:val="24"/>
        </w:rPr>
      </w:pPr>
      <w:r>
        <w:rPr>
          <w:sz w:val="24"/>
        </w:rPr>
        <w:t>CONFIDENTIALITY AGREEMENTS</w:t>
      </w:r>
    </w:p>
    <w:p>
      <w:pPr>
        <w:pStyle w:val="Normal"/>
        <w:jc w:val="center"/>
        <w:rPr>
          <w:b/>
          <w:sz w:val="22"/>
        </w:rPr>
      </w:pPr>
      <w:r>
        <w:rPr>
          <w:b/>
          <w:sz w:val="22"/>
        </w:rPr>
      </w:r>
    </w:p>
    <w:tbl>
      <w:tblPr>
        <w:tblW w:w="14418" w:type="dxa"/>
        <w:jc w:val="start"/>
        <w:tblInd w:w="0" w:type="dxa"/>
        <w:tblLayout w:type="fixed"/>
        <w:tblCellMar>
          <w:top w:w="0" w:type="dxa"/>
          <w:start w:w="108" w:type="dxa"/>
          <w:bottom w:w="0" w:type="dxa"/>
          <w:end w:w="108" w:type="dxa"/>
        </w:tblCellMar>
      </w:tblPr>
      <w:tblGrid>
        <w:gridCol w:w="648"/>
        <w:gridCol w:w="3150"/>
        <w:gridCol w:w="1080"/>
        <w:gridCol w:w="1440"/>
        <w:gridCol w:w="1260"/>
        <w:gridCol w:w="3690"/>
        <w:gridCol w:w="3150"/>
      </w:tblGrid>
      <w:tr>
        <w:trPr>
          <w:tblHeader w:val="true"/>
        </w:trPr>
        <w:tc>
          <w:tcPr>
            <w:tcW w:w="648"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2"/>
              </w:rPr>
            </w:pPr>
            <w:r>
              <w:rPr>
                <w:b/>
                <w:sz w:val="22"/>
              </w:rPr>
              <w:t>No.</w:t>
            </w:r>
          </w:p>
        </w:tc>
        <w:tc>
          <w:tcPr>
            <w:tcW w:w="3150" w:type="dxa"/>
            <w:tcBorders>
              <w:top w:val="single" w:sz="6" w:space="0" w:color="000000"/>
              <w:start w:val="single" w:sz="6" w:space="0" w:color="000000"/>
              <w:bottom w:val="single" w:sz="6" w:space="0" w:color="000000"/>
              <w:end w:val="single" w:sz="6" w:space="0" w:color="000000"/>
            </w:tcBorders>
            <w:shd w:fill="E5E5E5" w:val="clear"/>
          </w:tcPr>
          <w:p>
            <w:pPr>
              <w:pStyle w:val="Heading1"/>
              <w:ind w:hanging="0" w:start="0"/>
              <w:jc w:val="center"/>
              <w:rPr>
                <w:sz w:val="22"/>
              </w:rPr>
            </w:pPr>
            <w:r>
              <w:rPr>
                <w:sz w:val="22"/>
              </w:rPr>
              <w:t>Counterparty</w:t>
            </w:r>
          </w:p>
        </w:tc>
        <w:tc>
          <w:tcPr>
            <w:tcW w:w="108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Date</w:t>
            </w:r>
          </w:p>
        </w:tc>
        <w:tc>
          <w:tcPr>
            <w:tcW w:w="144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Protected</w:t>
            </w:r>
          </w:p>
          <w:p>
            <w:pPr>
              <w:pStyle w:val="Heading2"/>
              <w:ind w:hanging="0" w:start="0"/>
              <w:rPr>
                <w:sz w:val="22"/>
              </w:rPr>
            </w:pPr>
            <w:r>
              <w:rPr>
                <w:sz w:val="22"/>
              </w:rPr>
              <w:t>Party</w:t>
            </w:r>
          </w:p>
        </w:tc>
        <w:tc>
          <w:tcPr>
            <w:tcW w:w="126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Executed</w:t>
            </w:r>
          </w:p>
        </w:tc>
        <w:tc>
          <w:tcPr>
            <w:tcW w:w="369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Comments</w:t>
            </w:r>
          </w:p>
        </w:tc>
        <w:tc>
          <w:tcPr>
            <w:tcW w:w="315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Dealmaker</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AccuWeather,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04/05/00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Aether Systems Incorporated</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Teresa Smith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Altra Electronic Trading Services,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05/29/00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Continential Airlines,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06/19/00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Daniel Diamond</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Cysive,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D’arcy, Masius, Benton &amp; Bowles Usa,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Heading3"/>
              <w:snapToGrid w:val="false"/>
              <w:ind w:hanging="0" w:start="0"/>
              <w:rPr>
                <w:sz w:val="22"/>
              </w:rPr>
            </w:pPr>
            <w:r>
              <w:rPr>
                <w:sz w:val="22"/>
              </w:rPr>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This is an odd one.  Enron Corp. has a CA in place with their ad agency.  Jason Yang is a subcontractor and EOL wants him bound individually in addition to Corp’s CA.  Carol drafted an amendment letter to the existing CA and emailed it to Kal Shah for transmittal to cpy.</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Kal Shah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Dow-Jones &amp; Company,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Energy Argus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04/04/00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Energy Trading Platform Holding Company,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05/17/00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Fieldston Publishing</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04/18/00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Financial Times Energy, a division of The Financial Times Group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FYI-Net, L.P.</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03/20/00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HoustonStreet Exchange,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Human Code,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05/03/00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Idea Integration, a business unit of Modis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draft to cpy on5/4/00.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IMP London (subcontractor Jeremy Pemberton)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05/31/00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Other</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Emailed to Kal on 6/6/00.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Kal Shah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MarchFIRST</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draft to cpy 4/26/00.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Novo MediaGroup,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Organic,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Outercurve Technologies</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06/18/00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executed copy to cpy 6/29/00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Theresa Smith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PH Energy Analysis Ltd.</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keepNext w:val="true"/>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Platt’s, a division of The McGraw-Hill Companies</w:t>
            </w:r>
          </w:p>
        </w:tc>
        <w:tc>
          <w:tcPr>
            <w:tcW w:w="10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03/30/00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keepNext w:val="true"/>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Reuters</w:t>
            </w:r>
          </w:p>
        </w:tc>
        <w:tc>
          <w:tcPr>
            <w:tcW w:w="10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03/23/00</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Received comments and marked up draft for Mark to review.  We are waiting on response until we settle other documentation issues.</w:t>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Scudder Publishing Group</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03/30/00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Simpler Software, Inc., d/b/a e-Acumen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05/17/00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Originally emailed Enron CA form.  Rahil requested we send bilateral form to cpy.  Emailed on 5/17/00 to Phil Chang.</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Viant Corporation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Michael Danielson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Wilson Learning Corporation, acting through its eLearning Division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04/12/00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Kal Shah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Yahoo! Broadcast.com</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05/24/00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executed copy to cpy on 6/2/00.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Mike Danielson</w:t>
            </w:r>
          </w:p>
        </w:tc>
      </w:tr>
    </w:tbl>
    <w:p>
      <w:pPr>
        <w:pStyle w:val="Normal"/>
        <w:jc w:val="both"/>
        <w:rPr>
          <w:sz w:val="22"/>
        </w:rPr>
      </w:pPr>
      <w:r>
        <w:rPr>
          <w:sz w:val="22"/>
        </w:rPr>
      </w:r>
    </w:p>
    <w:sectPr>
      <w:footerReference w:type="default" r:id="rId2"/>
      <w:type w:val="nextPage"/>
      <w:pgSz w:orient="landscape" w:w="15840" w:h="12240"/>
      <w:pgMar w:left="864"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w:t>
    </w:r>
    <w:r>
      <w:rPr>
        <w:sz w:val="16"/>
      </w:rPr>
      <w:fldChar w:fldCharType="begin"/>
    </w:r>
    <w:r>
      <w:rPr>
        <w:sz w:val="16"/>
      </w:rPr>
      <w:instrText xml:space="preserve"> FILENAME \p </w:instrText>
    </w:r>
    <w:r>
      <w:rPr>
        <w:sz w:val="16"/>
      </w:rPr>
      <w:fldChar w:fldCharType="separate"/>
    </w:r>
    <w:r>
      <w:rPr>
        <w:sz w:val="16"/>
      </w:rPr>
      <w:t>/mnt/main-storage/datasets/enron-docs/doc/ONLINE_CONFIDENTIALITY_AGREEMENTS-18ec3facaf7333539a68da45512af9db9d645a37198e523ec582aea6c85fce41.doc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8"/>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both"/>
      <w:outlineLvl w:val="3"/>
    </w:pPr>
    <w:rPr>
      <w:sz w:val="28"/>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2000-05-04T12:20:00Z</dcterms:created>
  <dc:creator>ebraden</dc:creator>
  <dc:description/>
  <dc:language>en-CA</dc:language>
  <cp:lastModifiedBy>tjones</cp:lastModifiedBy>
  <cp:lastPrinted>2000-06-29T08:28:00Z</cp:lastPrinted>
  <dcterms:modified xsi:type="dcterms:W3CDTF">2000-06-29T13:07:00Z</dcterms:modified>
  <cp:revision>50</cp:revision>
  <dc:subject/>
  <dc:title>CONFIDENTIALITY AGREEMENTS</dc:title>
</cp:coreProperties>
</file>