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rPr/>
        <w:tab/>
      </w:r>
    </w:p>
    <w:p>
      <w:pPr>
        <w:pStyle w:val="BodyText"/>
        <w:rPr/>
      </w:pPr>
      <w:r>
        <w:rPr/>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Capital &amp; Trade Resources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Heading1"/>
        <w:ind w:hanging="0" w:start="0"/>
        <w:jc w:val="start"/>
        <w:rPr>
          <w:u w:val="single"/>
        </w:rPr>
      </w:pPr>
      <w:r>
        <w:rPr>
          <w:u w:val="single"/>
        </w:rPr>
      </w:r>
    </w:p>
    <w:p>
      <w:pPr>
        <w:pStyle w:val="Normal"/>
        <w:rPr>
          <w:u w:val="single"/>
        </w:rPr>
      </w:pPr>
      <w:r>
        <w:rPr>
          <w:u w:val="single"/>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r>
    </w:p>
    <w:p>
      <w:pPr>
        <w:pStyle w:val="Normal"/>
        <w:tabs>
          <w:tab w:val="clear" w:pos="720"/>
          <w:tab w:val="left" w:pos="2160" w:leader="none"/>
          <w:tab w:val="left" w:pos="6480" w:leader="none"/>
        </w:tabs>
        <w:ind w:start="-720" w:end="0"/>
        <w:rPr>
          <w:sz w:val="22"/>
        </w:rPr>
      </w:pPr>
      <w:r>
        <w:rPr>
          <w:sz w:val="22"/>
        </w:rPr>
        <w:t>To:</w:t>
        <w:tab/>
        <w:t>("Counterparty")</w:t>
      </w:r>
    </w:p>
    <w:p>
      <w:pPr>
        <w:pStyle w:val="Normal"/>
        <w:tabs>
          <w:tab w:val="clear" w:pos="720"/>
          <w:tab w:val="left" w:pos="2160" w:leader="none"/>
          <w:tab w:val="left" w:pos="6480" w:leader="none"/>
        </w:tabs>
        <w:ind w:start="-720" w:end="0"/>
        <w:rPr>
          <w:sz w:val="22"/>
        </w:rPr>
      </w:pPr>
      <w:r>
        <w:rPr>
          <w:sz w:val="22"/>
        </w:rPr>
        <w:t>Attention:</w:t>
        <w:tab/>
      </w:r>
    </w:p>
    <w:p>
      <w:pPr>
        <w:pStyle w:val="Normal"/>
        <w:tabs>
          <w:tab w:val="clear" w:pos="720"/>
          <w:tab w:val="left" w:pos="2160" w:leader="none"/>
          <w:tab w:val="left" w:pos="6480" w:leader="none"/>
        </w:tabs>
        <w:ind w:start="-720" w:end="0"/>
        <w:rPr>
          <w:sz w:val="22"/>
        </w:rPr>
      </w:pPr>
      <w:r>
        <w:rPr>
          <w:sz w:val="22"/>
        </w:rPr>
        <w:t>Fax No.:</w:t>
        <w:tab/>
      </w:r>
    </w:p>
    <w:p>
      <w:pPr>
        <w:pStyle w:val="Normal"/>
        <w:tabs>
          <w:tab w:val="clear" w:pos="720"/>
          <w:tab w:val="left" w:pos="2160" w:leader="none"/>
          <w:tab w:val="left" w:pos="6480" w:leader="none"/>
        </w:tabs>
        <w:ind w:start="-720" w:end="0"/>
        <w:rPr>
          <w:sz w:val="22"/>
        </w:rPr>
      </w:pPr>
      <w:r>
        <w:rPr>
          <w:sz w:val="22"/>
        </w:rPr>
        <w:t>From:</w:t>
        <w:tab/>
        <w:t>(“ECT”)</w:t>
      </w:r>
    </w:p>
    <w:p>
      <w:pPr>
        <w:pStyle w:val="Normal"/>
        <w:tabs>
          <w:tab w:val="clear" w:pos="720"/>
          <w:tab w:val="left" w:pos="2160" w:leader="none"/>
          <w:tab w:val="left" w:pos="6480" w:leader="none"/>
        </w:tabs>
        <w:ind w:start="-720" w:end="0"/>
        <w:rPr>
          <w:sz w:val="22"/>
        </w:rPr>
      </w:pPr>
      <w:r>
        <w:rPr>
          <w:sz w:val="22"/>
        </w:rPr>
        <w:t>Re:</w:t>
        <w:tab/>
        <w:t xml:space="preserve">Swaption; ECT Deal Number </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us </w:t>
      </w:r>
      <w:r>
        <w:rPr>
          <w:i/>
          <w:sz w:val="22"/>
        </w:rPr>
        <w:t xml:space="preserve"> </w:t>
      </w:r>
      <w:r>
        <w:rPr>
          <w:sz w:val="22"/>
        </w:rPr>
        <w:t>whereby we accepted your offer to enter into the Transaction.  [The particular Transaction to which this Confirmation relates is an Option, the terms of which are as follows:]</w:t>
      </w:r>
      <w:r>
        <w:rPr>
          <w:sz w:val="22"/>
          <w:vertAlign w:val="superscript"/>
        </w:rPr>
        <w:t>1</w:t>
      </w:r>
    </w:p>
    <w:p>
      <w:pPr>
        <w:pStyle w:val="BodyTextIndent"/>
        <w:rPr>
          <w:sz w:val="22"/>
        </w:rPr>
      </w:pPr>
      <w:r>
        <w:rPr>
          <w:sz w:val="22"/>
        </w:rPr>
      </w:r>
    </w:p>
    <w:p>
      <w:pPr>
        <w:pStyle w:val="BodyTextIndent"/>
        <w:rPr>
          <w:b/>
          <w:sz w:val="22"/>
        </w:rPr>
      </w:pPr>
      <w:r>
        <w:rPr>
          <w:b/>
          <w:sz w:val="22"/>
        </w:rPr>
        <w:t>General Terms for Swaption:</w:t>
        <w:tab/>
      </w:r>
    </w:p>
    <w:p>
      <w:pPr>
        <w:pStyle w:val="BodyTextIndent"/>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720" w:start="0" w:end="0"/>
        <w:rPr>
          <w:sz w:val="22"/>
        </w:rPr>
      </w:pPr>
      <w:r>
        <w:rPr>
          <w:sz w:val="22"/>
        </w:rPr>
        <w:tab/>
        <w:t>Trade Date:</w:t>
        <w:tab/>
        <w:tab/>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Style:</w:t>
        <w:tab/>
        <w:tab/>
        <w:t>[American/European/Asian]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Type:</w:t>
        <w:tab/>
        <w:tab/>
        <w:t>Swaption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Seller:</w:t>
        <w:tab/>
        <w:tab/>
        <w:t>[PartyA/B]</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Buyer:</w:t>
        <w:tab/>
        <w:tab/>
        <w:t>[Party B/A]</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Total Premium:</w:t>
        <w:tab/>
        <w:tab/>
        <w:t>USD XXX.00 due Seller</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Premium Payment Date(s):</w:t>
        <w:tab/>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Cash Settlement:</w:t>
        <w:tab/>
        <w:tab/>
        <w:t>[Applicable/Inapplicable]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z w:val="22"/>
          <w:vertAlign w:val="superscript"/>
        </w:rPr>
        <w:t>2</w:t>
      </w:r>
      <w:r>
        <w:rPr>
          <w:sz w:val="22"/>
        </w:rPr>
        <w:t>Settlement Date:</w:t>
        <w:tab/>
        <w:t>[___Business Days following the Exercise Date]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z w:val="22"/>
          <w:vertAlign w:val="superscript"/>
        </w:rPr>
        <w:t>2</w:t>
      </w:r>
      <w:r>
        <w:rPr>
          <w:sz w:val="22"/>
        </w:rPr>
        <w:t>Cash Settlement Amount:</w:t>
        <w:tab/>
        <w:t>[Specify means for determination]</w:t>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sz w:val="16"/>
          <w:vertAlign w:val="superscript"/>
        </w:rPr>
      </w:pPr>
      <w:r>
        <w:rPr>
          <w:sz w:val="16"/>
          <w:vertAlign w:val="superscript"/>
        </w:rPr>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sz w:val="16"/>
          <w:vertAlign w:val="superscript"/>
        </w:rPr>
      </w:pPr>
      <w:r>
        <w:rPr>
          <w:sz w:val="16"/>
          <w:vertAlign w:val="superscript"/>
        </w:rPr>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pPr>
      <w:r>
        <w:rPr>
          <w:sz w:val="16"/>
          <w:vertAlign w:val="superscript"/>
        </w:rPr>
        <w:t xml:space="preserve">1 </w:t>
      </w:r>
      <w:r>
        <w:rPr>
          <w:sz w:val="16"/>
        </w:rPr>
        <w:t>If no premium stated, then need to insert "consideration language" in preamble: "In consideration of the parties' agreement to enter into [Enron Entity Name] ECT Deal No.[Deal Number], the terms of the particular Transaction to which this Confirmation relates is an Option, the terms of which are as follows:" and delete the line items for ‘Total Premium and ‘Premium Payment Date(s).</w:t>
      </w:r>
    </w:p>
    <w:p>
      <w:pPr>
        <w:pStyle w:val="BodyTextIndent"/>
        <w:tabs>
          <w:tab w:val="left" w:pos="90" w:leader="none"/>
          <w:tab w:val="left" w:pos="2160" w:leader="none"/>
          <w:tab w:val="left" w:pos="4140" w:leader="none"/>
          <w:tab w:val="left" w:pos="4320" w:leader="none"/>
          <w:tab w:val="left" w:pos="6480" w:leader="none"/>
        </w:tabs>
        <w:ind w:hanging="90" w:start="-630" w:end="0"/>
        <w:rPr/>
      </w:pPr>
      <w:r>
        <w:rPr>
          <w:sz w:val="16"/>
        </w:rPr>
        <w:tab/>
      </w:r>
      <w:r>
        <w:rPr>
          <w:sz w:val="22"/>
          <w:vertAlign w:val="superscript"/>
        </w:rPr>
        <w:t>2</w:t>
      </w:r>
      <w:r>
        <w:rPr>
          <w:sz w:val="16"/>
        </w:rPr>
        <w:t xml:space="preserve"> Delete these line items if Cash Settlement is ‘Inapplicable’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Procedure for Exercise:</w:t>
        <w:tab/>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t>Exercise Period:</w:t>
        <w:tab/>
        <w:t xml:space="preserve">[Inapplicable] </w:t>
      </w:r>
      <w:r>
        <w:rPr>
          <w:sz w:val="22"/>
          <w:vertAlign w:val="superscript"/>
        </w:rPr>
        <w:t>3</w:t>
      </w:r>
      <w:r>
        <w:rPr>
          <w:sz w:val="22"/>
        </w:rPr>
        <w:t>or [From and including __________ to and including ______________]</w:t>
      </w:r>
      <w:r>
        <w:rPr>
          <w:sz w:val="22"/>
          <w:vertAlign w:val="superscript"/>
        </w:rPr>
        <w:t xml:space="preserve">4 </w:t>
      </w:r>
      <w:r>
        <w:rPr>
          <w:sz w:val="22"/>
        </w:rPr>
        <w:t>between _____ a.m. and _____ p.m.</w:t>
      </w:r>
      <w:r>
        <w:rPr>
          <w:sz w:val="22"/>
          <w:vertAlign w:val="superscript"/>
        </w:rPr>
        <w:t>5</w:t>
      </w:r>
      <w:r>
        <w:rPr>
          <w:sz w:val="22"/>
        </w:rPr>
        <w:t xml:space="preserve"> (local time in ___________).</w:t>
      </w:r>
      <w:r>
        <w:rPr>
          <w:sz w:val="22"/>
          <w:vertAlign w:val="superscript"/>
        </w:rPr>
        <w:t>5</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vertAlign w:val="superscript"/>
        </w:rPr>
        <w:tab/>
        <w:tab/>
      </w:r>
      <w:r>
        <w:rPr>
          <w:sz w:val="22"/>
        </w:rPr>
        <w:t>Expiration Date:</w:t>
      </w:r>
      <w:r>
        <w:rPr>
          <w:sz w:val="22"/>
          <w:vertAlign w:val="superscript"/>
        </w:rPr>
        <w:t>7</w:t>
      </w: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t>Automatic Exercise:</w:t>
        <w:tab/>
        <w:t xml:space="preserve">[Applicable/Inapplicable] </w:t>
      </w:r>
      <w:r>
        <w:rPr>
          <w:sz w:val="22"/>
          <w:vertAlign w:val="superscript"/>
        </w:rPr>
        <w:t>3</w:t>
      </w: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t>Written Confirmation:</w:t>
        <w:tab/>
        <w:t>[Applicable/Inapplicable]</w:t>
      </w:r>
      <w:r>
        <w:rPr>
          <w:sz w:val="22"/>
          <w:vertAlign w:val="superscript"/>
        </w:rPr>
        <w:t xml:space="preserve">8,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 xml:space="preserve">Seller's telephone, telex or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 xml:space="preserve">facsimile number for purposes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of giving notice: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numPr>
          <w:ilvl w:val="0"/>
          <w:numId w:val="2"/>
        </w:numPr>
        <w:tabs>
          <w:tab w:val="left" w:pos="90" w:leader="none"/>
          <w:tab w:val="left" w:pos="810" w:leader="none"/>
          <w:tab w:val="left" w:pos="2160" w:leader="none"/>
          <w:tab w:val="left" w:pos="4140" w:leader="none"/>
          <w:tab w:val="left" w:pos="6480" w:leader="none"/>
        </w:tabs>
        <w:ind w:hanging="375" w:start="465" w:end="-630"/>
        <w:jc w:val="start"/>
        <w:rPr>
          <w:sz w:val="22"/>
        </w:rPr>
      </w:pPr>
      <w:r>
        <w:rPr>
          <w:sz w:val="22"/>
        </w:rPr>
        <w:t>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per Determination Period: </w:t>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 </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Termination Date:</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Determination Period(s):</w:t>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720" w:start="0" w:end="-630"/>
        <w:rPr>
          <w:sz w:val="22"/>
        </w:rPr>
      </w:pPr>
      <w:r>
        <w:rPr>
          <w:sz w:val="22"/>
        </w:rPr>
        <w:tab/>
        <w:t>Payment Date(s):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Payor:</w:t>
        <w:tab/>
        <w:tab/>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Payor:</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90" w:start="-630" w:end="0"/>
        <w:rPr/>
      </w:pPr>
      <w:r>
        <w:rPr>
          <w:sz w:val="16"/>
        </w:rPr>
        <w:tab/>
      </w:r>
      <w:r>
        <w:rPr>
          <w:sz w:val="22"/>
          <w:vertAlign w:val="superscript"/>
        </w:rPr>
        <w:t>2</w:t>
      </w:r>
      <w:r>
        <w:rPr>
          <w:sz w:val="16"/>
        </w:rPr>
        <w:t xml:space="preserve"> Delete these line items if Cash Settlement is ‘Inapplicable’</w:t>
      </w:r>
    </w:p>
    <w:p>
      <w:pPr>
        <w:pStyle w:val="BodyTextIndent"/>
        <w:tabs>
          <w:tab w:val="left" w:pos="90" w:leader="none"/>
          <w:tab w:val="left" w:pos="2160" w:leader="none"/>
          <w:tab w:val="left" w:pos="4140" w:leader="none"/>
          <w:tab w:val="left" w:pos="4320" w:leader="none"/>
          <w:tab w:val="left" w:pos="6480" w:leader="none"/>
        </w:tabs>
        <w:ind w:hanging="90" w:start="-630" w:end="0"/>
        <w:rPr/>
      </w:pPr>
      <w:r>
        <w:rPr>
          <w:sz w:val="16"/>
          <w:vertAlign w:val="superscript"/>
        </w:rPr>
        <w:t xml:space="preserve">3 </w:t>
      </w:r>
      <w:r>
        <w:rPr>
          <w:sz w:val="16"/>
        </w:rPr>
        <w:t>If Automatic Exercise is specified to be "Applicable" and the Exercise Period is specified to be "Inapplicable", the swaption shall be deemed exercised on the first day of the first Determination period.</w:t>
      </w:r>
    </w:p>
    <w:p>
      <w:pPr>
        <w:pStyle w:val="BodyTextIndent"/>
        <w:tabs>
          <w:tab w:val="left" w:pos="90" w:leader="none"/>
          <w:tab w:val="left" w:pos="2160" w:leader="none"/>
          <w:tab w:val="left" w:pos="4140" w:leader="none"/>
          <w:tab w:val="left" w:pos="4320" w:leader="none"/>
          <w:tab w:val="left" w:pos="6480" w:leader="none"/>
        </w:tabs>
        <w:rPr/>
      </w:pPr>
      <w:r>
        <w:rPr>
          <w:sz w:val="22"/>
          <w:vertAlign w:val="superscript"/>
        </w:rPr>
        <w:t>4</w:t>
      </w:r>
      <w:r>
        <w:rPr>
          <w:sz w:val="16"/>
        </w:rPr>
        <w:t>Include if American style option.</w:t>
      </w:r>
    </w:p>
    <w:p>
      <w:pPr>
        <w:pStyle w:val="BodyTextIndent"/>
        <w:tabs>
          <w:tab w:val="left" w:pos="90" w:leader="none"/>
          <w:tab w:val="left" w:pos="2160" w:leader="none"/>
          <w:tab w:val="left" w:pos="4140" w:leader="none"/>
          <w:tab w:val="left" w:pos="4320" w:leader="none"/>
          <w:tab w:val="left" w:pos="6480" w:leader="none"/>
        </w:tabs>
        <w:rPr/>
      </w:pPr>
      <w:r>
        <w:rPr>
          <w:sz w:val="22"/>
          <w:vertAlign w:val="superscript"/>
        </w:rPr>
        <w:t>5</w:t>
      </w:r>
      <w:r>
        <w:rPr>
          <w:sz w:val="16"/>
        </w:rPr>
        <w:t>If no hours are specified, then prior to noon Central time.</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6</w:t>
      </w:r>
      <w:r>
        <w:rPr>
          <w:sz w:val="16"/>
        </w:rPr>
        <w:t xml:space="preserve"> Specify city in which Seller is located for purposes of receiving notices.</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7</w:t>
      </w:r>
      <w:r>
        <w:rPr>
          <w:sz w:val="16"/>
        </w:rPr>
        <w:t xml:space="preserve"> Include if option is exercisable only on the Expiration Date.</w:t>
      </w:r>
    </w:p>
    <w:p>
      <w:pPr>
        <w:pStyle w:val="BodyTextIndent"/>
        <w:tabs>
          <w:tab w:val="left" w:pos="90" w:leader="none"/>
          <w:tab w:val="left" w:pos="2160" w:leader="none"/>
          <w:tab w:val="left" w:pos="4140" w:leader="none"/>
          <w:tab w:val="left" w:pos="4320" w:leader="none"/>
          <w:tab w:val="left" w:pos="6480" w:leader="none"/>
        </w:tabs>
        <w:rPr>
          <w:b/>
          <w:sz w:val="22"/>
        </w:rPr>
      </w:pPr>
      <w:r>
        <w:rPr>
          <w:b/>
          <w:sz w:val="16"/>
          <w:vertAlign w:val="superscript"/>
        </w:rPr>
        <w:t>8</w:t>
      </w:r>
      <w:r>
        <w:rPr>
          <w:b/>
          <w:sz w:val="16"/>
        </w:rPr>
        <w:t xml:space="preserve"> </w:t>
      </w:r>
      <w:r>
        <w:rPr>
          <w:sz w:val="16"/>
        </w:rPr>
        <w:t>If specified as "Applicable", Buyer must promptly deliver a written confirmation confirming substance of Notice of Exercise.</w:t>
      </w:r>
    </w:p>
    <w:p>
      <w:pPr>
        <w:pStyle w:val="BodyTextIndent"/>
        <w:tabs>
          <w:tab w:val="left" w:pos="90" w:leader="none"/>
          <w:tab w:val="left" w:pos="2160" w:leader="none"/>
          <w:tab w:val="left" w:pos="4140" w:leader="none"/>
          <w:tab w:val="left" w:pos="4320" w:leader="none"/>
          <w:tab w:val="left" w:pos="6480" w:leader="none"/>
        </w:tabs>
        <w:rPr>
          <w:b/>
          <w:sz w:val="16"/>
          <w:vertAlign w:val="superscript"/>
        </w:rPr>
      </w:pPr>
      <w:r>
        <w:rPr>
          <w:b/>
          <w:sz w:val="16"/>
          <w:vertAlign w:val="superscript"/>
        </w:rPr>
      </w:r>
    </w:p>
    <w:p>
      <w:pPr>
        <w:pStyle w:val="BodyTextIndent"/>
        <w:tabs>
          <w:tab w:val="left" w:pos="90" w:leader="none"/>
          <w:tab w:val="left" w:pos="810" w:leader="none"/>
          <w:tab w:val="left" w:pos="2160" w:leader="none"/>
          <w:tab w:val="left" w:pos="4140" w:leader="none"/>
          <w:tab w:val="left" w:pos="6480" w:leader="none"/>
        </w:tabs>
        <w:ind w:hanging="720" w:start="0" w:end="0"/>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t>Floating Price:</w:t>
        <w:tab/>
        <w:tab/>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t xml:space="preserve"> and Pricing Date(s):</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tab/>
        <w:t>Fallback Reference Price:</w:t>
        <w:tab/>
        <w:t>[Reminder, always identify the price source as (the “Alternative Floating Price Source)”]</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firstLine="720" w:end="0"/>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(iv) gigajoules shall be rounded to four places and (v) Metric Tons and Short Tons shall be rounded to two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p>
      <w:pPr>
        <w:pStyle w:val="BodyTextIndent"/>
        <w:tabs>
          <w:tab w:val="left" w:pos="90" w:leader="none"/>
          <w:tab w:val="left" w:pos="2160" w:leader="none"/>
          <w:tab w:val="left" w:pos="4140" w:leader="none"/>
          <w:tab w:val="left" w:pos="6480" w:leader="none"/>
        </w:tabs>
        <w:ind w:hanging="720" w:start="0" w:end="0"/>
        <w:rPr>
          <w:sz w:val="16"/>
          <w:vertAlign w:val="superscript"/>
        </w:rPr>
      </w:pPr>
      <w:r>
        <w:rPr>
          <w:sz w:val="22"/>
        </w:rPr>
        <w:tab/>
      </w:r>
    </w:p>
    <w:p>
      <w:pPr>
        <w:pStyle w:val="BodyTextIndent"/>
        <w:tabs>
          <w:tab w:val="left" w:pos="90" w:leader="none"/>
          <w:tab w:val="left" w:pos="2160" w:leader="none"/>
          <w:tab w:val="left" w:pos="4140" w:leader="none"/>
          <w:tab w:val="left" w:pos="4320" w:leader="none"/>
          <w:tab w:val="left" w:pos="6480" w:leader="none"/>
        </w:tabs>
        <w:ind w:start="0" w:end="0"/>
        <w:rPr>
          <w:sz w:val="16"/>
          <w:vertAlign w:val="superscript"/>
        </w:rPr>
      </w:pPr>
      <w:r>
        <w:rPr>
          <w:sz w:val="16"/>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Contractual Currency:</w:t>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Governing Law:</w:t>
        <w:tab/>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 xml:space="preserve">General Terms and Conditions </w:t>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of Confirmations:</w:t>
        <w:tab/>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Credit or Other Special Provisions:</w:t>
        <w:tab/>
      </w:r>
    </w:p>
    <w:p>
      <w:pPr>
        <w:pStyle w:val="BodyTextIndent"/>
        <w:tabs>
          <w:tab w:val="clear" w:pos="90"/>
          <w:tab w:val="left" w:pos="720" w:leader="none"/>
          <w:tab w:val="left" w:pos="2160" w:leader="none"/>
          <w:tab w:val="left" w:pos="4140" w:leader="none"/>
          <w:tab w:val="left" w:pos="6480" w:leader="none"/>
        </w:tabs>
        <w:ind w:hanging="4320" w:start="4320" w:end="0"/>
        <w:rPr>
          <w:b/>
          <w:sz w:val="22"/>
        </w:rPr>
      </w:pPr>
      <w:r>
        <w:rPr>
          <w:b/>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r>
        <w:br w:type="pag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Entity Name] is please to have entered into this Transaction with you.</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Entity Name]</w:t>
        <w:tab/>
        <w:tab/>
        <w:t xml:space="preserve"> [Counterparty Name]</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w:t>
        <w:tab/>
        <w:tab/>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w:t>
        <w:tab/>
        <w:tab/>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Date: </w:t>
        <w:tab/>
        <w:tab/>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r>
        <w:br w:type="page"/>
      </w:r>
    </w:p>
    <w:p>
      <w:pPr>
        <w:pStyle w:val="Normal"/>
        <w:jc w:val="both"/>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EnronLogoFax </w:instrText>
      </w:r>
      <w:r>
        <w:rPr>
          <w:sz w:val="22"/>
          <w:b/>
        </w:rPr>
        <w:fldChar w:fldCharType="separate"/>
      </w:r>
      <w:r>
        <w:rPr>
          <w:sz w:val="22"/>
          <w:b/>
        </w:rPr>
        <w:t xml:space="preserve"> </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c>
          <w:tcPr>
            <w:tcW w:w="4932" w:type="dxa"/>
            <w:tcBorders/>
          </w:tcPr>
          <w:p>
            <w:pPr>
              <w:pStyle w:val="Norma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sz w:val="22"/>
        </w:rPr>
      </w:pPr>
      <w:r>
        <w:rPr>
          <w:b/>
          <w:sz w:val="22"/>
        </w:rPr>
        <w:t>COUNTERPARTY: PLEASE PROVIDE ABOVE REQUESTED INFORMATION IF NOT PROVIDED PREVIOUSLY OR IF CHANGES HAVE OCCURRED</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/mnt/main-storage/datasets/enron-docs/doc/OMNIBUS_swaption__Sara____Don_t_use.doc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OMNIBUSswaption</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65"/>
        </w:tabs>
        <w:ind w:start="465" w:hanging="375"/>
      </w:pPr>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1999-06-03T13:04:00Z</dcterms:created>
  <dc:creator>wende warren</dc:creator>
  <dc:description/>
  <dc:language>en-CA</dc:language>
  <cp:lastModifiedBy>dneuner</cp:lastModifiedBy>
  <cp:lastPrinted>1999-06-16T09:39:00Z</cp:lastPrinted>
  <dcterms:modified xsi:type="dcterms:W3CDTF">1999-06-16T12:10:00Z</dcterms:modified>
  <cp:revision>15</cp:revision>
  <dc:subject/>
  <dc:title/>
</cp:coreProperties>
</file>