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rFonts w:ascii="BernhardMod BT" w:hAnsi="BernhardMod BT" w:eastAsia="BernhardMod BT" w:cs="BernhardMod BT"/>
          <w:b/>
          <w:bCs/>
          <w:i/>
          <w:i/>
          <w:iCs/>
          <w:sz w:val="26"/>
          <w:szCs w:val="26"/>
        </w:rPr>
      </w:pPr>
      <w:r>
        <w:rPr>
          <w:rFonts w:eastAsia="BernhardMod BT" w:cs="BernhardMod BT" w:ascii="BernhardMod BT" w:hAnsi="BernhardMod BT"/>
          <w:b/>
          <w:bCs/>
          <w:i/>
          <w:iCs/>
          <w:sz w:val="26"/>
          <w:szCs w:val="26"/>
        </w:rPr>
        <w:t>Promising Gas Options OII – I.99-07-003</w:t>
      </w:r>
    </w:p>
    <w:p>
      <w:pPr>
        <w:pStyle w:val="Normal"/>
        <w:spacing w:before="60" w:after="0"/>
        <w:jc w:val="center"/>
        <w:rPr>
          <w:rFonts w:ascii="Bookman Old Style" w:hAnsi="Bookman Old Style" w:eastAsia="Bookman Old Style" w:cs="Bookman Old Style"/>
          <w:b/>
          <w:bCs/>
        </w:rPr>
      </w:pPr>
      <w:r>
        <w:rPr>
          <w:rFonts w:eastAsia="Bookman Old Style" w:cs="Bookman Old Style" w:ascii="Bookman Old Style" w:hAnsi="Bookman Old Style"/>
          <w:b/>
          <w:bCs/>
        </w:rPr>
        <w:t>Estimated Schedule For OII and PG&amp;E Tariff Preparation</w:t>
      </w:r>
    </w:p>
    <w:p>
      <w:pPr>
        <w:pStyle w:val="Normal"/>
        <w:jc w:val="center"/>
        <w:rPr>
          <w:sz w:val="26"/>
          <w:szCs w:val="26"/>
        </w:rPr>
      </w:pPr>
      <w:bookmarkStart w:id="0" w:name="DocDate"/>
      <w:r>
        <w:rPr>
          <w:sz w:val="26"/>
          <w:szCs w:val="26"/>
        </w:rPr>
        <w:t>April 14, 2000</w:t>
      </w:r>
      <w:bookmarkEnd w:id="0"/>
    </w:p>
    <w:p>
      <w:pPr>
        <w:pStyle w:val="Normal"/>
        <w:spacing w:before="60" w:after="0"/>
        <w:jc w:val="center"/>
        <w:rPr>
          <w:rFonts w:ascii="Bookman Old Style" w:hAnsi="Bookman Old Style" w:eastAsia="Bookman Old Style" w:cs="Bookman Old Style"/>
          <w:b/>
          <w:bCs/>
          <w:sz w:val="26"/>
          <w:szCs w:val="26"/>
          <w:u w:val="single"/>
        </w:rPr>
      </w:pPr>
      <w:r>
        <w:rPr>
          <w:rFonts w:eastAsia="Bookman Old Style" w:cs="Bookman Old Style" w:ascii="Bookman Old Style" w:hAnsi="Bookman Old Style"/>
          <w:b/>
          <w:bCs/>
          <w:sz w:val="26"/>
          <w:szCs w:val="26"/>
          <w:u w:val="single"/>
        </w:rPr>
      </w:r>
    </w:p>
    <w:tbl>
      <w:tblPr>
        <w:tblW w:w="8820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2430"/>
        <w:gridCol w:w="450"/>
        <w:gridCol w:w="4770"/>
        <w:gridCol w:w="90"/>
        <w:gridCol w:w="360"/>
        <w:gridCol w:w="180"/>
      </w:tblGrid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28, Tuesday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PG&amp;E sends pro-forma OII Settlement tariffs to parties.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3, Monday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Southern California Settlements:  SCGC/TURN, Support for Interim Settlement, and principles for a SoCalGas/CAC/et al Settlement.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 6, Thursday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PG&amp;E CPAG Meeting.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April 10, Monday</w:t>
            </w:r>
          </w:p>
        </w:tc>
        <w:tc>
          <w:tcPr>
            <w:tcW w:w="486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PG&amp;E Workshop on Draft OII Tariffs.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11, Tuesday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Prehearing Conference, 10:00 a.m.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17, Monday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SoCalGas/CAC/et al Settlement expected to be filed.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End-April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ALJ issues PD for approval of PG&amp;E's OII Settlement.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24, Monday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Prehearing Conference, 10:00 a.m.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5, Friday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Testimony for SoCalGas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19, Friday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Rebuttal Testimony for SoCalGas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24, Wednesday</w:t>
            </w:r>
          </w:p>
        </w:tc>
        <w:tc>
          <w:tcPr>
            <w:tcW w:w="5310" w:type="dxa"/>
            <w:gridSpan w:val="3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Motions to Strike and Witness Lists</w:t>
            </w:r>
          </w:p>
        </w:tc>
        <w:tc>
          <w:tcPr>
            <w:tcW w:w="54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May 25, Thursday</w:t>
            </w:r>
          </w:p>
        </w:tc>
        <w:tc>
          <w:tcPr>
            <w:tcW w:w="522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PG&amp;E sends revised tariff package to Parties.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Late-May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Comments and Reply Comments on PD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30, Tuesday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Pretrial Hearing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30 to June 9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Evidentiary Hearings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Mid to Late June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Briefing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June 20, Tuesday</w:t>
            </w:r>
          </w:p>
        </w:tc>
        <w:tc>
          <w:tcPr>
            <w:tcW w:w="5400" w:type="dxa"/>
            <w:gridSpan w:val="4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Parties provide comments on draft PG&amp;E tariffs.</w:t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June 27, Tuesday</w:t>
            </w:r>
          </w:p>
        </w:tc>
        <w:tc>
          <w:tcPr>
            <w:tcW w:w="5400" w:type="dxa"/>
            <w:gridSpan w:val="4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Meeting in San Francisco to review comments on draft PG&amp;E's tariffs.</w:t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Mid to Late June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PG&amp;E OII Settlement on Commission Agenda (and approved).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TBD  </w:t>
            </w:r>
          </w:p>
        </w:tc>
        <w:tc>
          <w:tcPr>
            <w:tcW w:w="522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PG&amp;E sends final compliance filing package to Parties for final review.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522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Parties provide final comments.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tcMar>
              <w:start w:w="0" w:type="dxa"/>
              <w:end w:w="0" w:type="dxa"/>
            </w:tcMar>
          </w:tcPr>
          <w:p>
            <w:pPr>
              <w:pStyle w:val="TableContent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8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rFonts w:eastAsia="Wingdings;Symbol" w:cs="Wingdings;Symbol" w:ascii="Wingdings;Symbol" w:hAnsi="Wingdings;Symbol"/>
                <w:b/>
                <w:bCs/>
                <w:sz w:val="24"/>
                <w:szCs w:val="24"/>
              </w:rPr>
              <w:sym w:font="Wingdings;Symbol" w:char="f19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TBD</w:t>
            </w:r>
          </w:p>
        </w:tc>
        <w:tc>
          <w:tcPr>
            <w:tcW w:w="5220" w:type="dxa"/>
            <w:gridSpan w:val="3"/>
            <w:tcBorders/>
          </w:tcPr>
          <w:p>
            <w:pPr>
              <w:pStyle w:val="Normal"/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Meeting in San Francisco to finalize tariffs. </w:t>
            </w:r>
          </w:p>
        </w:tc>
        <w:tc>
          <w:tcPr>
            <w:tcW w:w="1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Mid to Late August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PG&amp;E Compliance Tariff Filing  </w:t>
            </w:r>
            <w:r>
              <w:rPr>
                <w:i/>
                <w:iCs/>
                <w:sz w:val="24"/>
                <w:szCs w:val="24"/>
              </w:rPr>
              <w:t>(60 days from Decision).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Early September 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Protests and Replies on Compliance Filing due.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Late September or Early October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Commission approval of Tariffs to Implement PG&amp;E Gas OII Settlement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297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November 1 or December 1</w:t>
            </w:r>
          </w:p>
        </w:tc>
        <w:tc>
          <w:tcPr>
            <w:tcW w:w="5220" w:type="dxa"/>
            <w:gridSpan w:val="2"/>
            <w:tcBorders/>
          </w:tcPr>
          <w:p>
            <w:pPr>
              <w:pStyle w:val="Normal"/>
              <w:spacing w:before="120" w:after="120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Tariffs effective for PG&amp;E Gas OII Settlement</w:t>
            </w:r>
          </w:p>
        </w:tc>
        <w:tc>
          <w:tcPr>
            <w:tcW w:w="63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ind w:start="1008" w:end="0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440" w:gutter="0" w:header="720" w:top="864" w:footer="720" w:bottom="77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/>
    <w:family w:val="swiss"/>
    <w:pitch w:val="variable"/>
  </w:font>
  <w:font w:name="BernhardMod BT">
    <w:charset w:val="01"/>
    <w:family w:val="roman"/>
    <w:pitch w:val="variable"/>
  </w:font>
  <w:font w:name="Bookman Old Style">
    <w:charset w:val="01"/>
    <w:family w:val="roman"/>
    <w:pitch w:val="variable"/>
  </w:font>
  <w:font w:name="Wingdings">
    <w:altName w:val="Symbol"/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firstLine="720" w:end="0"/>
      <w:rPr>
        <w:b/>
        <w:bCs/>
        <w:i/>
        <w:i/>
        <w:iCs/>
        <w:sz w:val="22"/>
        <w:szCs w:val="22"/>
      </w:rPr>
    </w:pPr>
    <w:r>
      <w:rPr>
        <w:i/>
        <w:iCs/>
        <w:sz w:val="22"/>
        <w:szCs w:val="22"/>
      </w:rPr>
      <w:t>(Italics indicate estimated dates.)</w:t>
    </w:r>
  </w:p>
  <w:p>
    <w:pPr>
      <w:pStyle w:val="Footer"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2</w:t>
    </w:r>
    <w:r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ind w:firstLine="720" w:end="0"/>
      <w:rPr>
        <w:b/>
        <w:bCs/>
        <w:i/>
        <w:i/>
        <w:iCs/>
        <w:sz w:val="22"/>
        <w:szCs w:val="22"/>
      </w:rPr>
    </w:pPr>
    <w:r>
      <w:rPr>
        <w:i/>
        <w:iCs/>
        <w:sz w:val="22"/>
        <w:szCs w:val="22"/>
      </w:rPr>
      <w:t>(Italics indicate estimated dates.)</w:t>
    </w:r>
  </w:p>
  <w:p>
    <w:pPr>
      <w:pStyle w:val="Footer"/>
      <w:spacing w:before="120" w:after="0"/>
      <w:jc w:val="center"/>
      <w:rPr/>
    </w:pPr>
    <w:r>
      <w:rPr>
        <w:sz w:val="24"/>
        <w:szCs w:val="24"/>
      </w:rPr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1</w:t>
    </w:r>
    <w:r>
      <w:rPr>
        <w:rStyle w:val="PageNumber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szCs w:val="20"/>
      </w:rPr>
    </w:pPr>
    <w:r>
      <w:rPr>
        <w:sz w:val="20"/>
        <w:szCs w:val="20"/>
      </w:rPr>
      <w:t>Confidential – Prepared for Settlement Discussions</w:t>
    </w:r>
  </w:p>
  <w:p>
    <w:pPr>
      <w:pStyle w:val="Normal"/>
      <w:rPr>
        <w:rFonts w:ascii="BernhardMod BT" w:hAnsi="BernhardMod BT" w:eastAsia="BernhardMod BT" w:cs="BernhardMod BT"/>
        <w:b/>
        <w:bCs/>
        <w:i/>
        <w:i/>
        <w:iCs/>
        <w:sz w:val="26"/>
        <w:szCs w:val="26"/>
      </w:rPr>
    </w:pPr>
    <w:r>
      <w:rPr>
        <w:rFonts w:eastAsia="BernhardMod BT" w:cs="BernhardMod BT" w:ascii="BernhardMod BT" w:hAnsi="BernhardMod BT"/>
        <w:b/>
        <w:bCs/>
        <w:i/>
        <w:iCs/>
        <w:sz w:val="26"/>
        <w:szCs w:val="26"/>
      </w:rPr>
      <w:t>Promising Gas Options OII</w:t>
    </w:r>
  </w:p>
  <w:p>
    <w:pPr>
      <w:pStyle w:val="Normal"/>
      <w:rPr>
        <w:rFonts w:ascii="Bookman Old Style" w:hAnsi="Bookman Old Style" w:eastAsia="Bookman Old Style" w:cs="Bookman Old Style"/>
        <w:b/>
        <w:bCs/>
        <w:sz w:val="26"/>
        <w:szCs w:val="26"/>
      </w:rPr>
    </w:pPr>
    <w:r>
      <w:rPr>
        <w:rFonts w:eastAsia="Bookman Old Style" w:cs="Bookman Old Style" w:ascii="Bookman Old Style" w:hAnsi="Bookman Old Style"/>
        <w:b/>
        <w:bCs/>
        <w:sz w:val="26"/>
        <w:szCs w:val="26"/>
      </w:rPr>
      <w:t>Estimated Schedule for OII and PG&amp;E Tariff Preparation</w:t>
    </w:r>
  </w:p>
  <w:p>
    <w:pPr>
      <w:pStyle w:val="Normal"/>
      <w:rPr>
        <w:rFonts w:ascii="Bookman Old Style" w:hAnsi="Bookman Old Style" w:eastAsia="Bookman Old Style" w:cs="Bookman Old Style"/>
        <w:b/>
        <w:bCs/>
        <w:sz w:val="26"/>
        <w:szCs w:val="26"/>
      </w:rPr>
    </w:pPr>
    <w:r>
      <w:rPr>
        <w:rFonts w:eastAsia="Bookman Old Style" w:cs="Bookman Old Style" w:ascii="Bookman Old Style" w:hAnsi="Bookman Old Style"/>
        <w:b/>
        <w:bCs/>
        <w:sz w:val="26"/>
        <w:szCs w:val="26"/>
      </w:rPr>
      <w:fldChar w:fldCharType="begin"/>
    </w:r>
    <w:r>
      <w:rPr>
        <w:sz w:val="26"/>
        <w:b/>
        <w:szCs w:val="26"/>
        <w:bCs/>
        <w:rFonts w:eastAsia="Bookman Old Style" w:cs="Bookman Old Style" w:ascii="Bookman Old Style" w:hAnsi="Bookman Old Style"/>
      </w:rPr>
      <w:instrText xml:space="preserve"> REF DocDate \h </w:instrText>
    </w:r>
    <w:r>
      <w:rPr>
        <w:sz w:val="26"/>
        <w:b/>
        <w:szCs w:val="26"/>
        <w:bCs/>
        <w:rFonts w:eastAsia="Bookman Old Style" w:cs="Bookman Old Style" w:ascii="Bookman Old Style" w:hAnsi="Bookman Old Style"/>
      </w:rPr>
      <w:fldChar w:fldCharType="separate"/>
    </w:r>
    <w:r>
      <w:rPr>
        <w:sz w:val="26"/>
        <w:b/>
        <w:szCs w:val="26"/>
        <w:bCs/>
        <w:rFonts w:eastAsia="Bookman Old Style" w:cs="Bookman Old Style" w:ascii="Bookman Old Style" w:hAnsi="Bookman Old Style"/>
      </w:rPr>
      <w:t>April 14, 2000</w:t>
    </w:r>
    <w:r>
      <w:rPr>
        <w:sz w:val="26"/>
        <w:b/>
        <w:szCs w:val="26"/>
        <w:bCs/>
        <w:rFonts w:eastAsia="Bookman Old Style" w:cs="Bookman Old Style" w:ascii="Bookman Old Style" w:hAnsi="Bookman Old Style"/>
      </w:rPr>
      <w:fldChar w:fldCharType="end"/>
    </w:r>
  </w:p>
  <w:p>
    <w:pPr>
      <w:pStyle w:val="Normal"/>
      <w:rPr>
        <w:rFonts w:ascii="Bookman Old Style" w:hAnsi="Bookman Old Style" w:eastAsia="Bookman Old Style" w:cs="Bookman Old Style"/>
        <w:sz w:val="26"/>
        <w:szCs w:val="26"/>
      </w:rPr>
    </w:pPr>
    <w:r>
      <w:rPr>
        <w:rFonts w:eastAsia="Bookman Old Style" w:cs="Bookman Old Style" w:ascii="Bookman Old Style" w:hAnsi="Bookman Old Style"/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  <w:szCs w:val="20"/>
      </w:rPr>
    </w:pPr>
    <w:r>
      <w:rPr>
        <w:sz w:val="20"/>
        <w:szCs w:val="20"/>
      </w:rPr>
      <w:t>Confidential – Prepared for Settlement Discussions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  <w:sz w:val="24"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4"/>
      <w:szCs w:val="24"/>
    </w:rPr>
  </w:style>
  <w:style w:type="paragraph" w:styleId="Bullet1-Memo">
    <w:name w:val="Bullet 1 - Memo"/>
    <w:basedOn w:val="Normal"/>
    <w:qFormat/>
    <w:pPr>
      <w:ind w:hanging="432" w:start="432" w:end="0"/>
    </w:pPr>
    <w:rPr/>
  </w:style>
  <w:style w:type="paragraph" w:styleId="Bullet2-Memo">
    <w:name w:val="Bullet 2 - Memo"/>
    <w:basedOn w:val="Normal"/>
    <w:qFormat/>
    <w:pPr>
      <w:ind w:hanging="432" w:start="864" w:end="432"/>
    </w:pPr>
    <w:rPr/>
  </w:style>
  <w:style w:type="paragraph" w:styleId="Bullet3-Memo">
    <w:name w:val="Bullet 3 - Memo"/>
    <w:basedOn w:val="Normal"/>
    <w:qFormat/>
    <w:pPr>
      <w:ind w:hanging="432" w:start="1296" w:end="432"/>
    </w:pPr>
    <w:rPr/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3-Memo">
    <w:name w:val="Indent 3 - Memo"/>
    <w:basedOn w:val="Bullet3-Memo"/>
    <w:qFormat/>
    <w:pPr/>
    <w:rPr/>
  </w:style>
  <w:style w:type="paragraph" w:styleId="Indent2-Memo">
    <w:name w:val="Indent 2 - Memo"/>
    <w:basedOn w:val="Bullet2-Memo"/>
    <w:qFormat/>
    <w:pPr>
      <w:ind w:hanging="0" w:start="864" w:end="432"/>
    </w:pPr>
    <w:rPr/>
  </w:style>
  <w:style w:type="paragraph" w:styleId="Indent0">
    <w:name w:val="Indent 0"/>
    <w:basedOn w:val="Normal"/>
    <w:qFormat/>
    <w:pPr/>
    <w:rPr>
      <w:rFonts w:ascii="Helvetica;Arial" w:hAnsi="Helvetica;Arial" w:eastAsia="Helvetica;Arial" w:cs="Helvetica;Arial"/>
    </w:rPr>
  </w:style>
  <w:style w:type="paragraph" w:styleId="EnvelopeAddress">
    <w:name w:val="envelope address"/>
    <w:basedOn w:val="Normal"/>
    <w:pPr>
      <w:ind w:hanging="0" w:start="2880" w:end="0"/>
    </w:pPr>
    <w:rPr>
      <w:rFonts w:ascii="BernhardMod BT" w:hAnsi="BernhardMod BT" w:eastAsia="BernhardMod BT" w:cs="BernhardMod BT"/>
      <w:b/>
      <w:bCs/>
      <w:sz w:val="32"/>
      <w:szCs w:val="32"/>
    </w:rPr>
  </w:style>
  <w:style w:type="paragraph" w:styleId="EnvelopeReturn">
    <w:name w:val="envelope return"/>
    <w:basedOn w:val="Normal"/>
    <w:pPr/>
    <w:rPr>
      <w:rFonts w:ascii="BernhardMod BT" w:hAnsi="BernhardMod BT" w:eastAsia="BernhardMod BT" w:cs="BernhardMod BT"/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 1"/>
    <w:basedOn w:val="Normal"/>
    <w:qFormat/>
    <w:pPr>
      <w:ind w:hanging="432" w:start="432" w:end="0"/>
    </w:pPr>
    <w:rPr>
      <w:sz w:val="26"/>
      <w:szCs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2000-04-13T18:45:00Z</dcterms:created>
  <dc:creator>Geoff Bellenger</dc:creator>
  <dc:description/>
  <dc:language>en-CA</dc:language>
  <cp:lastModifiedBy>Geoffrey J Bellenger</cp:lastModifiedBy>
  <cp:lastPrinted>2000-04-14T10:48:00Z</cp:lastPrinted>
  <dcterms:modified xsi:type="dcterms:W3CDTF">2000-04-14T15:20:00Z</dcterms:modified>
  <cp:revision>1</cp:revision>
  <dc:subject/>
  <dc:title> </dc:title>
</cp:coreProperties>
</file>