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120" w:after="0"/>
        <w:jc w:val="center"/>
        <w:rPr>
          <w:rFonts w:ascii="BernhardMod BT" w:hAnsi="BernhardMod BT" w:eastAsia="BernhardMod BT" w:cs="BernhardMod BT"/>
          <w:b/>
          <w:bCs/>
          <w:i/>
          <w:i/>
          <w:iCs/>
          <w:sz w:val="26"/>
          <w:szCs w:val="26"/>
        </w:rPr>
      </w:pPr>
      <w:r>
        <w:rPr>
          <w:rFonts w:eastAsia="BernhardMod BT" w:cs="BernhardMod BT" w:ascii="BernhardMod BT" w:hAnsi="BernhardMod BT"/>
          <w:b/>
          <w:bCs/>
          <w:i/>
          <w:iCs/>
          <w:sz w:val="26"/>
          <w:szCs w:val="26"/>
        </w:rPr>
        <w:t>Promising Gas Options OII – I.99-07-003</w:t>
      </w:r>
    </w:p>
    <w:p>
      <w:pPr>
        <w:pStyle w:val="Normal"/>
        <w:widowControl/>
        <w:spacing w:before="60" w:after="0"/>
        <w:jc w:val="center"/>
        <w:rPr>
          <w:rFonts w:ascii="Bookman Old Style" w:hAnsi="Bookman Old Style" w:eastAsia="Bookman Old Style" w:cs="Bookman Old Style"/>
          <w:b/>
          <w:bCs/>
        </w:rPr>
      </w:pPr>
      <w:bookmarkStart w:id="0" w:name="DocTitle"/>
      <w:r>
        <w:rPr>
          <w:rFonts w:eastAsia="Bookman Old Style" w:cs="Bookman Old Style" w:ascii="Bookman Old Style" w:hAnsi="Bookman Old Style"/>
          <w:b/>
          <w:bCs/>
        </w:rPr>
        <w:t>Proposed Schedule For PG&amp;E Tariffs</w:t>
      </w:r>
      <w:bookmarkEnd w:id="0"/>
    </w:p>
    <w:p>
      <w:pPr>
        <w:pStyle w:val="Normal"/>
        <w:widowControl/>
        <w:spacing w:before="0" w:after="120"/>
        <w:jc w:val="center"/>
        <w:rPr/>
      </w:pPr>
      <w:bookmarkStart w:id="1" w:name="DocDate"/>
      <w:r>
        <w:rPr/>
        <w:t>May 18, 2000</w:t>
      </w:r>
      <w:bookmarkEnd w:id="1"/>
    </w:p>
    <w:tbl>
      <w:tblPr>
        <w:tblW w:w="9180" w:type="dxa"/>
        <w:jc w:val="start"/>
        <w:tblInd w:w="5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6210"/>
      </w:tblGrid>
      <w:tr>
        <w:trPr>
          <w:tblHeader w:val="true"/>
        </w:trPr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ashed" w:sz="6" w:space="0" w:color="auto"/>
              <w:end w:val="dotted" w:sz="6" w:space="0" w:color="000000"/>
            </w:tcBorders>
          </w:tcPr>
          <w:p>
            <w:pPr>
              <w:pStyle w:val="Normal"/>
              <w:widowControl/>
              <w:spacing w:before="60" w:after="60"/>
              <w:ind w:start="144" w:end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Date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ashed" w:sz="6" w:space="0" w:color="auto"/>
              <w:end w:val="dotted" w:sz="6" w:space="0" w:color="000000"/>
            </w:tcBorders>
          </w:tcPr>
          <w:p>
            <w:pPr>
              <w:pStyle w:val="Normal"/>
              <w:widowControl/>
              <w:spacing w:before="60" w:after="60"/>
              <w:ind w:start="144" w:end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Action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May 25, Thursday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sends Revised Tariff Package plus Responses To Issues to Parties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9, Friday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Parties submit Comments on Tariff Package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13, Tuesday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Hosts Half-Day Tariff Workshop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16, Friday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PG&amp;E sends Workshop Issues List to Parties 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23, Friday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sends revised Tariff Package and Responses To Issues to Parties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30, Friday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Parties submit Final Comments on Tariff Package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July 6, Thursday, Afternoon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/>
            </w:pPr>
            <w:r>
              <w:rPr>
                <w:b/>
                <w:bCs/>
                <w:sz w:val="26"/>
                <w:szCs w:val="26"/>
              </w:rPr>
              <w:t xml:space="preserve">PG&amp;E Hosts Half-Day Tariff Workshop, if needed  </w:t>
            </w:r>
            <w:r>
              <w:rPr>
                <w:sz w:val="26"/>
                <w:szCs w:val="26"/>
              </w:rPr>
              <w:t>(Commission Meeting in Morning)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July 17, Monday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Advice Letter Compliance Filing with the CPUC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August 7, Monday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Protests on Compliance Filing Due </w:t>
              <w:br/>
            </w:r>
            <w:r>
              <w:rPr>
                <w:sz w:val="26"/>
                <w:szCs w:val="26"/>
              </w:rPr>
              <w:t>(20 days after Advice Letter filed)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August 14, Monday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Response to Protests Due</w:t>
              <w:br/>
            </w:r>
            <w:r>
              <w:rPr>
                <w:sz w:val="26"/>
                <w:szCs w:val="26"/>
              </w:rPr>
              <w:t>(5 business days after protests received)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Late August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PG&amp;E (or Energy Division) Hosts Workshop on Compliance Tariffs, if needed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Mid to Late September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CPUC Issues Resolution approving tariffs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Early October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If necessary, PG&amp;E submits final Compliance Tariffs effective October 1 pursuant to the Resolution</w:t>
            </w:r>
          </w:p>
        </w:tc>
      </w:tr>
      <w:tr>
        <w:trPr/>
        <w:tc>
          <w:tcPr>
            <w:tcW w:w="297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October 1, 2000</w:t>
            </w:r>
          </w:p>
        </w:tc>
        <w:tc>
          <w:tcPr>
            <w:tcW w:w="6210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120"/>
              <w:ind w:start="144" w:end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Tariffs Effective for Gas OII Settlement </w:t>
            </w:r>
            <w:r>
              <w:rPr>
                <w:sz w:val="26"/>
                <w:szCs w:val="26"/>
              </w:rPr>
              <w:t xml:space="preserve"> (depending on approval timing, this date could slip, but needs to be the first day of a month, e.g. November 1, 2000)</w:t>
            </w:r>
          </w:p>
        </w:tc>
      </w:tr>
    </w:tbl>
    <w:p>
      <w:pPr>
        <w:pStyle w:val="Normal"/>
        <w:widowControl/>
        <w:ind w:start="1008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ind w:start="1008" w:end="0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96" w:right="1440" w:gutter="0" w:header="720" w:top="864" w:footer="720" w:bottom="77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/>
    <w:family w:val="swiss"/>
    <w:pitch w:val="variable"/>
  </w:font>
  <w:font w:name="BernhardMod BT">
    <w:charset w:val="01"/>
    <w:family w:val="roman"/>
    <w:pitch w:val="default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>
        <w:sz w:val="24"/>
        <w:szCs w:val="24"/>
      </w:rPr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pacing w:before="120" w:after="0"/>
      <w:jc w:val="center"/>
      <w:rPr/>
    </w:pPr>
    <w:r>
      <w:rPr>
        <w:sz w:val="24"/>
        <w:szCs w:val="24"/>
      </w:rPr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>
        <w:sz w:val="24"/>
        <w:szCs w:val="24"/>
      </w:rPr>
    </w:pPr>
    <w:r>
      <w:rPr>
        <w:sz w:val="24"/>
        <w:szCs w:val="24"/>
      </w:rPr>
      <w:t>Confidential – Prepared for Settlement Discussions</w:t>
    </w:r>
  </w:p>
  <w:p>
    <w:pPr>
      <w:pStyle w:val="Normal"/>
      <w:widowControl/>
      <w:rPr>
        <w:rFonts w:ascii="BernhardMod BT" w:hAnsi="BernhardMod BT" w:eastAsia="BernhardMod BT" w:cs="BernhardMod BT"/>
        <w:b/>
        <w:bCs/>
        <w:i/>
        <w:i/>
        <w:iCs/>
        <w:sz w:val="26"/>
        <w:szCs w:val="26"/>
      </w:rPr>
    </w:pPr>
    <w:r>
      <w:rPr>
        <w:rFonts w:eastAsia="BernhardMod BT" w:cs="BernhardMod BT" w:ascii="BernhardMod BT" w:hAnsi="BernhardMod BT"/>
        <w:b/>
        <w:bCs/>
        <w:i/>
        <w:iCs/>
        <w:sz w:val="26"/>
        <w:szCs w:val="26"/>
      </w:rPr>
      <w:t>Promising Gas Options OII</w:t>
    </w:r>
  </w:p>
  <w:p>
    <w:pPr>
      <w:pStyle w:val="Normal"/>
      <w:widowControl/>
      <w:rPr>
        <w:rFonts w:ascii="Bookman Old Style" w:hAnsi="Bookman Old Style" w:eastAsia="Bookman Old Style" w:cs="Bookman Old Style"/>
        <w:b/>
        <w:bCs/>
        <w:i/>
        <w:i/>
        <w:iCs/>
        <w:sz w:val="26"/>
        <w:szCs w:val="26"/>
      </w:rPr>
    </w:pPr>
    <w:r>
      <w:rPr>
        <w:rFonts w:eastAsia="Bookman Old Style" w:cs="Bookman Old Style" w:ascii="Bookman Old Style" w:hAnsi="Bookman Old Style"/>
        <w:b/>
        <w:bCs/>
        <w:i/>
        <w:iCs/>
        <w:sz w:val="26"/>
        <w:szCs w:val="26"/>
      </w:rPr>
      <w:fldChar w:fldCharType="begin"/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instrText xml:space="preserve"> REF DocTitle \h </w:instrText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fldChar w:fldCharType="separate"/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t>Proposed Schedule For PG&amp;E Tariffs</w:t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fldChar w:fldCharType="end"/>
    </w:r>
  </w:p>
  <w:p>
    <w:pPr>
      <w:pStyle w:val="Normal"/>
      <w:widowControl/>
      <w:rPr>
        <w:rFonts w:ascii="Bookman Old Style" w:hAnsi="Bookman Old Style" w:eastAsia="Bookman Old Style" w:cs="Bookman Old Style"/>
        <w:b/>
        <w:bCs/>
        <w:sz w:val="24"/>
        <w:szCs w:val="24"/>
      </w:rPr>
    </w:pPr>
    <w:r>
      <w:rPr>
        <w:rFonts w:eastAsia="Bookman Old Style" w:cs="Bookman Old Style" w:ascii="Bookman Old Style" w:hAnsi="Bookman Old Style"/>
        <w:b/>
        <w:bCs/>
        <w:sz w:val="24"/>
        <w:szCs w:val="24"/>
      </w:rPr>
      <w:fldChar w:fldCharType="begin"/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instrText xml:space="preserve"> REF DocDate \h </w:instrText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fldChar w:fldCharType="separate"/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t>May 18, 2000</w:t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fldChar w:fldCharType="end"/>
    </w:r>
  </w:p>
  <w:p>
    <w:pPr>
      <w:pStyle w:val="Normal"/>
      <w:widowControl/>
      <w:rPr>
        <w:rFonts w:ascii="Bookman Old Style" w:hAnsi="Bookman Old Style" w:eastAsia="Bookman Old Style" w:cs="Bookman Old Style"/>
        <w:sz w:val="26"/>
        <w:szCs w:val="26"/>
      </w:rPr>
    </w:pPr>
    <w:r>
      <w:rPr>
        <w:rFonts w:eastAsia="Bookman Old Style" w:cs="Bookman Old Style" w:ascii="Bookman Old Style" w:hAnsi="Bookman Old Style"/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>
        <w:sz w:val="24"/>
        <w:szCs w:val="24"/>
      </w:rPr>
    </w:pPr>
    <w:r>
      <w:rPr>
        <w:sz w:val="24"/>
        <w:szCs w:val="24"/>
      </w:rPr>
      <w:t>Confidential – Prepared for Settlement Discussions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b/>
      <w:bC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Arial" w:cs="Arial"/>
      <w:b/>
      <w:bCs/>
      <w:i/>
      <w:iCs/>
      <w:sz w:val="24"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4"/>
      <w:szCs w:val="24"/>
    </w:rPr>
  </w:style>
  <w:style w:type="paragraph" w:styleId="Bullet1-Memo">
    <w:name w:val="Bullet 1 - Memo"/>
    <w:basedOn w:val="Normal"/>
    <w:qFormat/>
    <w:pPr>
      <w:ind w:hanging="432" w:start="432" w:end="0"/>
    </w:pPr>
    <w:rPr/>
  </w:style>
  <w:style w:type="paragraph" w:styleId="Bullet2-Memo">
    <w:name w:val="Bullet 2 - Memo"/>
    <w:basedOn w:val="Normal"/>
    <w:qFormat/>
    <w:pPr>
      <w:ind w:hanging="432" w:start="864" w:end="432"/>
    </w:pPr>
    <w:rPr/>
  </w:style>
  <w:style w:type="paragraph" w:styleId="Bullet3-Memo">
    <w:name w:val="Bullet 3 - Memo"/>
    <w:basedOn w:val="Normal"/>
    <w:qFormat/>
    <w:pPr>
      <w:ind w:hanging="432" w:start="1296" w:end="432"/>
    </w:pPr>
    <w:rPr/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3-Memo">
    <w:name w:val="Indent 3 - Memo"/>
    <w:basedOn w:val="Bullet3-Memo"/>
    <w:qFormat/>
    <w:pPr/>
    <w:rPr/>
  </w:style>
  <w:style w:type="paragraph" w:styleId="Indent2-Memo">
    <w:name w:val="Indent 2 - Memo"/>
    <w:basedOn w:val="Bullet2-Memo"/>
    <w:qFormat/>
    <w:pPr>
      <w:ind w:hanging="0" w:start="864" w:end="432"/>
    </w:pPr>
    <w:rPr/>
  </w:style>
  <w:style w:type="paragraph" w:styleId="Indent0">
    <w:name w:val="Indent 0"/>
    <w:basedOn w:val="Normal"/>
    <w:qFormat/>
    <w:pPr/>
    <w:rPr>
      <w:rFonts w:ascii="Helvetica" w:hAnsi="Helvetica" w:eastAsia="Helvetica" w:cs="Helvetica"/>
    </w:rPr>
  </w:style>
  <w:style w:type="paragraph" w:styleId="EnvelopeAddress">
    <w:name w:val="envelope address"/>
    <w:basedOn w:val="Normal"/>
    <w:pPr>
      <w:ind w:hanging="0" w:start="2880" w:end="0"/>
    </w:pPr>
    <w:rPr>
      <w:rFonts w:ascii="BernhardMod BT" w:hAnsi="BernhardMod BT" w:eastAsia="BernhardMod BT" w:cs="BernhardMod BT"/>
      <w:b/>
      <w:bCs/>
      <w:sz w:val="32"/>
      <w:szCs w:val="32"/>
    </w:rPr>
  </w:style>
  <w:style w:type="paragraph" w:styleId="EnvelopeReturn">
    <w:name w:val="envelope return"/>
    <w:basedOn w:val="Normal"/>
    <w:pPr/>
    <w:rPr>
      <w:rFonts w:ascii="BernhardMod BT" w:hAnsi="BernhardMod BT" w:eastAsia="BernhardMod BT" w:cs="BernhardMod BT"/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1">
    <w:name w:val="Bullet 1"/>
    <w:basedOn w:val="Normal"/>
    <w:qFormat/>
    <w:pPr>
      <w:ind w:hanging="432" w:start="432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2000-05-17T19:57:00Z</dcterms:created>
  <dc:creator>A Valued Microsoft Customer</dc:creator>
  <dc:description/>
  <dc:language>en-CA</dc:language>
  <cp:lastModifiedBy>Geoffrey J Bellenger</cp:lastModifiedBy>
  <cp:lastPrinted>2000-05-18T13:49:00Z</cp:lastPrinted>
  <dcterms:modified xsi:type="dcterms:W3CDTF">2000-05-17T20:04:00Z</dcterms:modified>
  <cp:revision>1</cp:revision>
  <dc:subject/>
  <dc:title> </dc:title>
</cp:coreProperties>
</file>