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56"/>
        </w:rPr>
      </w:pPr>
      <w:r>
        <w:rPr>
          <w:sz w:val="56"/>
        </w:rPr>
      </w:r>
    </w:p>
    <w:p>
      <w:pPr>
        <w:pStyle w:val="Normal"/>
        <w:widowControl/>
        <w:jc w:val="center"/>
        <w:rPr>
          <w:sz w:val="56"/>
        </w:rPr>
      </w:pPr>
      <w:r>
        <w:rPr>
          <w:sz w:val="56"/>
        </w:rPr>
        <w:t>Pacific Gas and Electric Company</w:t>
      </w:r>
    </w:p>
    <w:p>
      <w:pPr>
        <w:pStyle w:val="Normal"/>
        <w:widowControl/>
        <w:spacing w:before="120" w:after="0"/>
        <w:jc w:val="center"/>
        <w:rPr>
          <w:sz w:val="56"/>
        </w:rPr>
      </w:pPr>
      <w:r>
        <w:rPr>
          <w:rFonts w:ascii="Wingdings" w:hAnsi="Wingdings"/>
          <w:sz w:val="56"/>
        </w:rPr>
        <w:sym w:font="Wingdings" w:char="9c"/>
      </w:r>
      <w:r>
        <w:rPr>
          <w:sz w:val="56"/>
        </w:rPr>
        <w:t xml:space="preserve">  </w:t>
      </w:r>
      <w:r>
        <w:rPr>
          <w:rFonts w:ascii="Wingdings" w:hAnsi="Wingdings"/>
          <w:sz w:val="56"/>
        </w:rPr>
        <w:sym w:font="Wingdings" w:char="9c"/>
      </w:r>
      <w:r>
        <w:rPr>
          <w:sz w:val="56"/>
        </w:rPr>
        <w:t xml:space="preserve">  </w:t>
      </w:r>
      <w:r>
        <w:rPr>
          <w:rFonts w:ascii="Wingdings" w:hAnsi="Wingdings"/>
          <w:sz w:val="56"/>
        </w:rPr>
        <w:sym w:font="Wingdings" w:char="9c"/>
      </w:r>
    </w:p>
    <w:p>
      <w:pPr>
        <w:pStyle w:val="Normal"/>
        <w:widowControl/>
        <w:spacing w:before="120" w:after="0"/>
        <w:jc w:val="center"/>
        <w:rPr>
          <w:b/>
          <w:sz w:val="56"/>
        </w:rPr>
      </w:pPr>
      <w:r>
        <w:rPr>
          <w:b/>
          <w:sz w:val="56"/>
        </w:rPr>
        <w:t>California Gas Transmission</w:t>
      </w:r>
    </w:p>
    <w:p>
      <w:pPr>
        <w:pStyle w:val="Normal"/>
        <w:widowControl/>
        <w:jc w:val="center"/>
        <w:rPr>
          <w:b/>
          <w:sz w:val="56"/>
        </w:rPr>
      </w:pPr>
      <w:r>
        <w:rPr>
          <w:b/>
          <w:sz w:val="56"/>
        </w:rPr>
      </w:r>
    </w:p>
    <w:p>
      <w:pPr>
        <w:pStyle w:val="Normal"/>
        <w:widowControl/>
        <w:jc w:val="center"/>
        <w:rPr>
          <w:sz w:val="56"/>
        </w:rPr>
      </w:pPr>
      <w:r>
        <w:rPr>
          <w:sz w:val="56"/>
        </w:rPr>
      </w:r>
    </w:p>
    <w:p>
      <w:pPr>
        <w:pStyle w:val="Normal"/>
        <w:widowControl/>
        <w:jc w:val="center"/>
        <w:rPr>
          <w:sz w:val="56"/>
        </w:rPr>
      </w:pPr>
      <w:r>
        <w:rPr>
          <w:sz w:val="56"/>
        </w:rPr>
      </w:r>
    </w:p>
    <w:p>
      <w:pPr>
        <w:pStyle w:val="Normal"/>
        <w:widowControl/>
        <w:spacing w:before="240" w:after="0"/>
        <w:jc w:val="center"/>
        <w:rPr>
          <w:rFonts w:ascii="Georgia" w:hAnsi="Georgia" w:cs="Georgia"/>
          <w:b/>
          <w:sz w:val="72"/>
        </w:rPr>
      </w:pPr>
      <w:r>
        <w:rPr>
          <w:rFonts w:cs="Georgia" w:ascii="Georgia" w:hAnsi="Georgia"/>
          <w:b/>
          <w:sz w:val="72"/>
        </w:rPr>
        <w:t>OFO Report</w:t>
      </w:r>
    </w:p>
    <w:p>
      <w:pPr>
        <w:pStyle w:val="Normal"/>
        <w:widowControl/>
        <w:spacing w:before="240" w:after="0"/>
        <w:jc w:val="center"/>
        <w:rPr>
          <w:rFonts w:ascii="Georgia" w:hAnsi="Georgia" w:cs="Georgia"/>
          <w:b/>
          <w:sz w:val="56"/>
        </w:rPr>
      </w:pPr>
      <w:r>
        <w:rPr>
          <w:rFonts w:cs="Georgia" w:ascii="Georgia" w:hAnsi="Georgia"/>
          <w:b/>
          <w:sz w:val="56"/>
        </w:rPr>
        <w:t>First Quarter 2001</w:t>
      </w:r>
    </w:p>
    <w:p>
      <w:pPr>
        <w:pStyle w:val="Normal"/>
        <w:widowControl/>
        <w:jc w:val="center"/>
        <w:rPr>
          <w:sz w:val="56"/>
        </w:rPr>
      </w:pPr>
      <w:r>
        <w:rPr>
          <w:sz w:val="56"/>
        </w:rPr>
        <w:t>(January – March)</w:t>
      </w:r>
    </w:p>
    <w:p>
      <w:pPr>
        <w:pStyle w:val="Normal"/>
        <w:widowControl/>
        <w:jc w:val="center"/>
        <w:rPr>
          <w:sz w:val="56"/>
        </w:rPr>
      </w:pPr>
      <w:r>
        <w:rPr>
          <w:sz w:val="56"/>
        </w:rPr>
      </w:r>
    </w:p>
    <w:p>
      <w:pPr>
        <w:pStyle w:val="Normal"/>
        <w:widowControl/>
        <w:jc w:val="center"/>
        <w:rPr>
          <w:sz w:val="56"/>
        </w:rPr>
      </w:pPr>
      <w:r>
        <w:rPr>
          <w:sz w:val="56"/>
        </w:rPr>
      </w:r>
    </w:p>
    <w:p>
      <w:pPr>
        <w:pStyle w:val="Normal"/>
        <w:widowControl/>
        <w:jc w:val="center"/>
        <w:rPr>
          <w:sz w:val="56"/>
        </w:rPr>
      </w:pPr>
      <w:r>
        <w:rPr>
          <w:sz w:val="56"/>
        </w:rPr>
      </w:r>
    </w:p>
    <w:p>
      <w:pPr>
        <w:pStyle w:val="Normal"/>
        <w:widowControl/>
        <w:jc w:val="center"/>
        <w:rPr>
          <w:sz w:val="48"/>
        </w:rPr>
      </w:pPr>
      <w:r>
        <w:rPr>
          <w:sz w:val="48"/>
        </w:rPr>
        <w:t>April 30, 2001</w:t>
      </w:r>
    </w:p>
    <w:p>
      <w:pPr>
        <w:pStyle w:val="Normal"/>
        <w:widowControl/>
        <w:jc w:val="center"/>
        <w:rPr>
          <w:sz w:val="56"/>
        </w:rPr>
      </w:pPr>
      <w:r>
        <w:rPr>
          <w:sz w:val="56"/>
        </w:rPr>
      </w:r>
    </w:p>
    <w:p>
      <w:pPr>
        <w:pStyle w:val="Normal"/>
        <w:widowControl/>
        <w:ind w:start="36" w:end="36"/>
        <w:jc w:val="center"/>
        <w:rPr>
          <w:sz w:val="16"/>
        </w:rPr>
      </w:pPr>
      <w:r>
        <w:rPr>
          <w:sz w:val="16"/>
        </w:rPr>
        <w:t>Subject to Rule 51 of the CPUC Rules of Practice and Procedure,</w:t>
      </w:r>
    </w:p>
    <w:p>
      <w:pPr>
        <w:pStyle w:val="Normal"/>
        <w:widowControl/>
        <w:ind w:start="36" w:end="36"/>
        <w:jc w:val="center"/>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jc w:val="center"/>
        <w:rPr>
          <w:sz w:val="16"/>
        </w:rPr>
      </w:pPr>
      <w:r>
        <w:rPr>
          <w:sz w:val="16"/>
        </w:rPr>
        <w:t>Rules of Evidence, and Section 1152 of the California Evidence Code</w:t>
      </w:r>
    </w:p>
    <w:p>
      <w:pPr>
        <w:sectPr>
          <w:type w:val="nextPage"/>
          <w:pgSz w:w="12240" w:h="15840"/>
          <w:pgMar w:left="1800" w:right="1800" w:gutter="0" w:header="0" w:top="1584" w:footer="0" w:bottom="1440"/>
          <w:pgNumType w:fmt="decimal"/>
          <w:formProt w:val="false"/>
          <w:textDirection w:val="lrTb"/>
          <w:docGrid w:type="default" w:linePitch="360" w:charSpace="0"/>
        </w:sectPr>
        <w:pStyle w:val="Normal"/>
        <w:widowControl/>
        <w:jc w:val="center"/>
        <w:rPr>
          <w:sz w:val="56"/>
        </w:rPr>
      </w:pPr>
      <w:r>
        <w:rPr>
          <w:sz w:val="56"/>
        </w:rPr>
      </w:r>
    </w:p>
    <w:p>
      <w:pPr>
        <w:pStyle w:val="Normal"/>
        <w:widowControl/>
        <w:jc w:val="center"/>
        <w:rPr>
          <w:rFonts w:ascii="Georgia" w:hAnsi="Georgia" w:cs="Georgia"/>
          <w:b/>
          <w:sz w:val="28"/>
        </w:rPr>
      </w:pPr>
      <w:r>
        <w:rPr>
          <w:rFonts w:cs="Georgia" w:ascii="Georgia" w:hAnsi="Georgia"/>
          <w:b/>
          <w:sz w:val="28"/>
        </w:rPr>
        <w:t>OFO Report:  First Quarter 2001</w:t>
      </w:r>
    </w:p>
    <w:p>
      <w:pPr>
        <w:pStyle w:val="Normal"/>
        <w:widowControl/>
        <w:jc w:val="center"/>
        <w:rPr>
          <w:rFonts w:ascii="Georgia" w:hAnsi="Georgia" w:cs="Georgia"/>
          <w:b/>
        </w:rPr>
      </w:pPr>
      <w:r>
        <w:rPr>
          <w:rFonts w:cs="Georgia" w:ascii="Georgia" w:hAnsi="Georgia"/>
          <w:b/>
        </w:rPr>
        <w:t>April 30, 2001</w:t>
      </w:r>
    </w:p>
    <w:p>
      <w:pPr>
        <w:pStyle w:val="Normal"/>
        <w:widowControl/>
        <w:spacing w:before="240" w:after="120"/>
        <w:jc w:val="center"/>
        <w:rPr/>
      </w:pPr>
      <w:r>
        <w:rPr/>
        <w:t>Table of Contents</w:t>
      </w:r>
    </w:p>
    <w:sdt>
      <w:sdtPr>
        <w:docPartObj>
          <w:docPartGallery w:val="Table of Contents"/>
          <w:docPartUnique w:val="true"/>
        </w:docPartObj>
      </w:sdtPr>
      <w:sdtContent>
        <w:p>
          <w:pPr>
            <w:pStyle w:val="TOC1"/>
            <w:spacing w:before="60" w:after="0"/>
            <w:ind w:hanging="432" w:start="432" w:end="0"/>
            <w:rPr>
              <w:caps w:val="false"/>
              <w:smallCaps w:val="false"/>
              <w:sz w:val="24"/>
              <w:szCs w:val="24"/>
              <w:lang w:val="en-CA" w:eastAsia="en-CA"/>
            </w:rPr>
          </w:pPr>
          <w:r>
            <w:fldChar w:fldCharType="begin"/>
          </w:r>
          <w:r>
            <w:rPr>
              <w:caps/>
              <w:sz w:val="24"/>
              <w:szCs w:val="26"/>
              <w:lang w:val="en-CA" w:eastAsia="en-CA"/>
            </w:rPr>
            <w:instrText xml:space="preserve">toc \o "1-2" \t "Appendix Heading,1,Appendix Heading 1,2" </w:instrText>
          </w:r>
          <w:r>
            <w:rPr>
              <w:caps/>
              <w:sz w:val="24"/>
              <w:szCs w:val="26"/>
              <w:lang w:val="en-CA" w:eastAsia="en-CA"/>
            </w:rPr>
            <w:fldChar w:fldCharType="separate"/>
          </w:r>
          <w:r>
            <w:rPr>
              <w:caps/>
              <w:sz w:val="24"/>
              <w:szCs w:val="26"/>
              <w:lang w:val="en-CA" w:eastAsia="en-CA"/>
            </w:rPr>
            <w:t>I.</w:t>
          </w:r>
          <w:r>
            <w:rPr>
              <w:caps w:val="false"/>
              <w:smallCaps w:val="false"/>
              <w:sz w:val="24"/>
              <w:szCs w:val="24"/>
              <w:lang w:val="en-CA" w:eastAsia="en-CA"/>
            </w:rPr>
            <w:tab/>
          </w:r>
          <w:r>
            <w:rPr>
              <w:caps/>
              <w:sz w:val="24"/>
              <w:szCs w:val="26"/>
              <w:lang w:val="en-CA" w:eastAsia="en-CA"/>
            </w:rPr>
            <w:t>BACKGROUND</w:t>
          </w:r>
          <w:r>
            <w:rPr>
              <w:caps/>
              <w:sz w:val="24"/>
              <w:lang w:val="en-CA" w:eastAsia="en-CA"/>
            </w:rPr>
            <w:tab/>
          </w:r>
          <w:hyperlink w:anchor="__RefHeading___Toc513004240">
            <w:r>
              <w:rPr>
                <w:rStyle w:val="IndexLink"/>
                <w:caps/>
                <w:sz w:val="24"/>
                <w:lang w:val="en-CA" w:eastAsia="en-CA"/>
              </w:rPr>
              <w:t>1</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A.</w:t>
            <w:tab/>
            <w:t>Requirements for Report</w:t>
          </w:r>
          <w:r>
            <w:rPr>
              <w:sz w:val="24"/>
              <w:lang w:val="en-CA" w:eastAsia="en-CA"/>
            </w:rPr>
            <w:tab/>
          </w:r>
          <w:hyperlink w:anchor="__RefHeading___Toc513004241">
            <w:r>
              <w:rPr>
                <w:rStyle w:val="IndexLink"/>
                <w:sz w:val="24"/>
                <w:lang w:val="en-CA" w:eastAsia="en-CA"/>
              </w:rPr>
              <w:t>1</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B.</w:t>
            <w:tab/>
            <w:t>Criteria For Calling OFOs</w:t>
          </w:r>
          <w:r>
            <w:rPr>
              <w:sz w:val="24"/>
              <w:lang w:val="en-CA" w:eastAsia="en-CA"/>
            </w:rPr>
            <w:tab/>
          </w:r>
          <w:hyperlink w:anchor="__RefHeading___Toc513004242">
            <w:r>
              <w:rPr>
                <w:rStyle w:val="IndexLink"/>
                <w:sz w:val="24"/>
                <w:lang w:val="en-CA" w:eastAsia="en-CA"/>
              </w:rPr>
              <w:t>2</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C.</w:t>
            <w:tab/>
            <w:t>Reduced Upper Pipeline Inventory Limit Effective March 15</w:t>
          </w:r>
          <w:r>
            <w:rPr>
              <w:sz w:val="24"/>
              <w:lang w:val="en-CA" w:eastAsia="en-CA"/>
            </w:rPr>
            <w:tab/>
          </w:r>
          <w:hyperlink w:anchor="__RefHeading___Toc513004243">
            <w:r>
              <w:rPr>
                <w:rStyle w:val="IndexLink"/>
                <w:sz w:val="24"/>
                <w:lang w:val="en-CA" w:eastAsia="en-CA"/>
              </w:rPr>
              <w:t>2</w:t>
            </w:r>
          </w:hyperlink>
        </w:p>
        <w:p>
          <w:pPr>
            <w:pStyle w:val="TOC1"/>
            <w:tabs>
              <w:tab w:val="left" w:pos="432" w:leader="none"/>
              <w:tab w:val="left" w:pos="864" w:leader="none"/>
              <w:tab w:val="right" w:pos="8630" w:leader="dot"/>
            </w:tabs>
            <w:rPr>
              <w:caps w:val="false"/>
              <w:smallCaps w:val="false"/>
              <w:sz w:val="24"/>
              <w:szCs w:val="24"/>
              <w:lang w:val="en-CA" w:eastAsia="en-CA"/>
            </w:rPr>
          </w:pPr>
          <w:r>
            <w:rPr>
              <w:sz w:val="24"/>
              <w:szCs w:val="26"/>
              <w:lang w:val="en-CA" w:eastAsia="en-CA"/>
            </w:rPr>
            <w:t>II.</w:t>
          </w:r>
          <w:r>
            <w:rPr>
              <w:caps w:val="false"/>
              <w:smallCaps w:val="false"/>
              <w:sz w:val="24"/>
              <w:szCs w:val="24"/>
              <w:lang w:val="en-CA" w:eastAsia="en-CA"/>
            </w:rPr>
            <w:tab/>
          </w:r>
          <w:r>
            <w:rPr>
              <w:sz w:val="24"/>
              <w:szCs w:val="26"/>
              <w:lang w:val="en-CA" w:eastAsia="en-CA"/>
            </w:rPr>
            <w:t>OFO EVENTS DURING THE First QUARTER 2001</w:t>
          </w:r>
          <w:r>
            <w:rPr>
              <w:sz w:val="24"/>
              <w:lang w:val="en-CA" w:eastAsia="en-CA"/>
            </w:rPr>
            <w:tab/>
          </w:r>
          <w:hyperlink w:anchor="__RefHeading___Toc513004244">
            <w:r>
              <w:rPr>
                <w:rStyle w:val="IndexLink"/>
                <w:sz w:val="24"/>
                <w:lang w:val="en-CA" w:eastAsia="en-CA"/>
              </w:rPr>
              <w:t>2</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A.</w:t>
            <w:tab/>
            <w:t>OFO Event Summary</w:t>
          </w:r>
          <w:r>
            <w:rPr>
              <w:sz w:val="24"/>
              <w:lang w:val="en-CA" w:eastAsia="en-CA"/>
            </w:rPr>
            <w:tab/>
          </w:r>
          <w:hyperlink w:anchor="__RefHeading___Toc513004245">
            <w:r>
              <w:rPr>
                <w:rStyle w:val="IndexLink"/>
                <w:sz w:val="24"/>
                <w:lang w:val="en-CA" w:eastAsia="en-CA"/>
              </w:rPr>
              <w:t>2</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 xml:space="preserve">B. </w:t>
            <w:tab/>
            <w:t>Receipt Point Capacity Allocation Event</w:t>
          </w:r>
          <w:r>
            <w:rPr>
              <w:sz w:val="24"/>
              <w:lang w:val="en-CA" w:eastAsia="en-CA"/>
            </w:rPr>
            <w:tab/>
          </w:r>
          <w:hyperlink w:anchor="__RefHeading___Toc513004246">
            <w:r>
              <w:rPr>
                <w:rStyle w:val="IndexLink"/>
                <w:sz w:val="24"/>
                <w:lang w:val="en-CA" w:eastAsia="en-CA"/>
              </w:rPr>
              <w:t>3</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C.</w:t>
            <w:tab/>
            <w:t>System-Wide OFO Reduction</w:t>
          </w:r>
          <w:r>
            <w:rPr>
              <w:sz w:val="24"/>
              <w:lang w:val="en-CA" w:eastAsia="en-CA"/>
            </w:rPr>
            <w:tab/>
          </w:r>
          <w:hyperlink w:anchor="__RefHeading___Toc513004247">
            <w:r>
              <w:rPr>
                <w:rStyle w:val="IndexLink"/>
                <w:sz w:val="24"/>
                <w:lang w:val="en-CA" w:eastAsia="en-CA"/>
              </w:rPr>
              <w:t>4</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C.</w:t>
            <w:tab/>
            <w:t>Distribution of OFOs</w:t>
          </w:r>
          <w:r>
            <w:rPr>
              <w:sz w:val="24"/>
              <w:lang w:val="en-CA" w:eastAsia="en-CA"/>
            </w:rPr>
            <w:tab/>
          </w:r>
          <w:hyperlink w:anchor="__RefHeading___Toc513004248">
            <w:r>
              <w:rPr>
                <w:rStyle w:val="IndexLink"/>
                <w:sz w:val="24"/>
                <w:lang w:val="en-CA" w:eastAsia="en-CA"/>
              </w:rPr>
              <w:t>5</w:t>
            </w:r>
          </w:hyperlink>
        </w:p>
        <w:p>
          <w:pPr>
            <w:pStyle w:val="TOC1"/>
            <w:tabs>
              <w:tab w:val="left" w:pos="432" w:leader="none"/>
              <w:tab w:val="left" w:pos="864" w:leader="none"/>
              <w:tab w:val="right" w:pos="8630" w:leader="dot"/>
            </w:tabs>
            <w:rPr>
              <w:caps w:val="false"/>
              <w:smallCaps w:val="false"/>
              <w:sz w:val="24"/>
              <w:szCs w:val="24"/>
              <w:lang w:val="en-CA" w:eastAsia="en-CA"/>
            </w:rPr>
          </w:pPr>
          <w:r>
            <w:rPr>
              <w:sz w:val="24"/>
              <w:szCs w:val="26"/>
              <w:lang w:val="en-CA" w:eastAsia="en-CA"/>
            </w:rPr>
            <w:t>III.</w:t>
          </w:r>
          <w:r>
            <w:rPr>
              <w:caps w:val="false"/>
              <w:smallCaps w:val="false"/>
              <w:sz w:val="24"/>
              <w:szCs w:val="24"/>
              <w:lang w:val="en-CA" w:eastAsia="en-CA"/>
            </w:rPr>
            <w:tab/>
          </w:r>
          <w:r>
            <w:rPr>
              <w:sz w:val="24"/>
              <w:szCs w:val="26"/>
              <w:lang w:val="en-CA" w:eastAsia="en-CA"/>
            </w:rPr>
            <w:t>Detailed Imbalance Data</w:t>
          </w:r>
          <w:r>
            <w:rPr>
              <w:sz w:val="24"/>
              <w:lang w:val="en-CA" w:eastAsia="en-CA"/>
            </w:rPr>
            <w:tab/>
          </w:r>
          <w:hyperlink w:anchor="__RefHeading___Toc513004249">
            <w:r>
              <w:rPr>
                <w:rStyle w:val="IndexLink"/>
                <w:sz w:val="24"/>
                <w:lang w:val="en-CA" w:eastAsia="en-CA"/>
              </w:rPr>
              <w:t>6</w:t>
            </w:r>
          </w:hyperlink>
        </w:p>
        <w:p>
          <w:pPr>
            <w:pStyle w:val="TOC1"/>
            <w:tabs>
              <w:tab w:val="left" w:pos="432" w:leader="none"/>
              <w:tab w:val="left" w:pos="864" w:leader="none"/>
              <w:tab w:val="right" w:pos="8630" w:leader="dot"/>
            </w:tabs>
            <w:rPr>
              <w:caps w:val="false"/>
              <w:smallCaps w:val="false"/>
              <w:sz w:val="24"/>
              <w:szCs w:val="24"/>
              <w:lang w:val="en-CA" w:eastAsia="en-CA"/>
            </w:rPr>
          </w:pPr>
          <w:r>
            <w:rPr>
              <w:sz w:val="24"/>
              <w:szCs w:val="26"/>
              <w:lang w:val="en-CA" w:eastAsia="en-CA"/>
            </w:rPr>
            <w:t>IV.</w:t>
          </w:r>
          <w:r>
            <w:rPr>
              <w:caps w:val="false"/>
              <w:smallCaps w:val="false"/>
              <w:sz w:val="24"/>
              <w:szCs w:val="24"/>
              <w:lang w:val="en-CA" w:eastAsia="en-CA"/>
            </w:rPr>
            <w:tab/>
          </w:r>
          <w:r>
            <w:rPr>
              <w:sz w:val="24"/>
              <w:szCs w:val="26"/>
              <w:lang w:val="en-CA" w:eastAsia="en-CA"/>
            </w:rPr>
            <w:t>Discussion and recommendations</w:t>
          </w:r>
          <w:r>
            <w:rPr>
              <w:sz w:val="24"/>
              <w:lang w:val="en-CA" w:eastAsia="en-CA"/>
            </w:rPr>
            <w:tab/>
          </w:r>
          <w:hyperlink w:anchor="__RefHeading___Toc513004250">
            <w:r>
              <w:rPr>
                <w:rStyle w:val="IndexLink"/>
                <w:sz w:val="24"/>
                <w:lang w:val="en-CA" w:eastAsia="en-CA"/>
              </w:rPr>
              <w:t>7</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A.</w:t>
            <w:tab/>
            <w:t>Drivers of OFO Events</w:t>
          </w:r>
          <w:r>
            <w:rPr>
              <w:sz w:val="24"/>
              <w:lang w:val="en-CA" w:eastAsia="en-CA"/>
            </w:rPr>
            <w:tab/>
          </w:r>
          <w:hyperlink w:anchor="__RefHeading___Toc513004251">
            <w:r>
              <w:rPr>
                <w:rStyle w:val="IndexLink"/>
                <w:sz w:val="24"/>
                <w:lang w:val="en-CA" w:eastAsia="en-CA"/>
              </w:rPr>
              <w:t>7</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B.</w:t>
            <w:tab/>
            <w:t>Market Center Imbalances</w:t>
          </w:r>
          <w:r>
            <w:rPr>
              <w:sz w:val="24"/>
              <w:lang w:val="en-CA" w:eastAsia="en-CA"/>
            </w:rPr>
            <w:tab/>
          </w:r>
          <w:hyperlink w:anchor="__RefHeading___Toc513004252">
            <w:r>
              <w:rPr>
                <w:rStyle w:val="IndexLink"/>
                <w:sz w:val="24"/>
                <w:lang w:val="en-CA" w:eastAsia="en-CA"/>
              </w:rPr>
              <w:t>7</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C.</w:t>
            <w:tab/>
            <w:t>Effectiveness of Customer-Specific versus System-Wide OFOs</w:t>
          </w:r>
          <w:r>
            <w:rPr>
              <w:sz w:val="24"/>
              <w:lang w:val="en-CA" w:eastAsia="en-CA"/>
            </w:rPr>
            <w:tab/>
          </w:r>
          <w:hyperlink w:anchor="__RefHeading___Toc513004253">
            <w:r>
              <w:rPr>
                <w:rStyle w:val="IndexLink"/>
                <w:sz w:val="24"/>
                <w:lang w:val="en-CA" w:eastAsia="en-CA"/>
              </w:rPr>
              <w:t>8</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D.</w:t>
            <w:tab/>
            <w:t>Significant Contributors Leading Up To OFO Days</w:t>
          </w:r>
          <w:r>
            <w:rPr>
              <w:sz w:val="24"/>
              <w:lang w:val="en-CA" w:eastAsia="en-CA"/>
            </w:rPr>
            <w:tab/>
          </w:r>
          <w:hyperlink w:anchor="__RefHeading___Toc513004254">
            <w:r>
              <w:rPr>
                <w:rStyle w:val="IndexLink"/>
                <w:sz w:val="24"/>
                <w:lang w:val="en-CA" w:eastAsia="en-CA"/>
              </w:rPr>
              <w:t>9</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E.</w:t>
            <w:tab/>
            <w:t>Significant Contributors On OFO Days</w:t>
          </w:r>
          <w:r>
            <w:rPr>
              <w:sz w:val="24"/>
              <w:lang w:val="en-CA" w:eastAsia="en-CA"/>
            </w:rPr>
            <w:tab/>
          </w:r>
          <w:hyperlink w:anchor="__RefHeading___Toc513004255">
            <w:r>
              <w:rPr>
                <w:rStyle w:val="IndexLink"/>
                <w:sz w:val="24"/>
                <w:lang w:val="en-CA" w:eastAsia="en-CA"/>
              </w:rPr>
              <w:t>9</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F.</w:t>
            <w:tab/>
            <w:t>California Production Imbalances</w:t>
          </w:r>
          <w:r>
            <w:rPr>
              <w:sz w:val="24"/>
              <w:lang w:val="en-CA" w:eastAsia="en-CA"/>
            </w:rPr>
            <w:tab/>
          </w:r>
          <w:hyperlink w:anchor="__RefHeading___Toc513004256">
            <w:r>
              <w:rPr>
                <w:rStyle w:val="IndexLink"/>
                <w:sz w:val="24"/>
                <w:lang w:val="en-CA" w:eastAsia="en-CA"/>
              </w:rPr>
              <w:t>10</w:t>
            </w:r>
          </w:hyperlink>
        </w:p>
        <w:p>
          <w:pPr>
            <w:pStyle w:val="TOC1"/>
            <w:tabs>
              <w:tab w:val="left" w:pos="432" w:leader="none"/>
              <w:tab w:val="left" w:pos="864" w:leader="none"/>
              <w:tab w:val="right" w:pos="8630" w:leader="dot"/>
            </w:tabs>
            <w:rPr>
              <w:caps w:val="false"/>
              <w:smallCaps w:val="false"/>
              <w:sz w:val="24"/>
              <w:szCs w:val="24"/>
              <w:lang w:val="en-CA" w:eastAsia="en-CA"/>
            </w:rPr>
          </w:pPr>
          <w:r>
            <w:rPr>
              <w:sz w:val="24"/>
              <w:szCs w:val="26"/>
              <w:lang w:val="en-CA" w:eastAsia="en-CA"/>
            </w:rPr>
            <w:t>V.</w:t>
          </w:r>
          <w:r>
            <w:rPr>
              <w:caps w:val="false"/>
              <w:smallCaps w:val="false"/>
              <w:sz w:val="24"/>
              <w:szCs w:val="24"/>
              <w:lang w:val="en-CA" w:eastAsia="en-CA"/>
            </w:rPr>
            <w:tab/>
          </w:r>
          <w:r>
            <w:rPr>
              <w:sz w:val="24"/>
              <w:szCs w:val="26"/>
              <w:lang w:val="en-CA" w:eastAsia="en-CA"/>
            </w:rPr>
            <w:t>Conclusions</w:t>
          </w:r>
          <w:r>
            <w:rPr>
              <w:sz w:val="24"/>
              <w:lang w:val="en-CA" w:eastAsia="en-CA"/>
            </w:rPr>
            <w:tab/>
          </w:r>
          <w:hyperlink w:anchor="__RefHeading___Toc513004257">
            <w:r>
              <w:rPr>
                <w:rStyle w:val="IndexLink"/>
                <w:sz w:val="24"/>
                <w:lang w:val="en-CA" w:eastAsia="en-CA"/>
              </w:rPr>
              <w:t>11</w:t>
            </w:r>
          </w:hyperlink>
        </w:p>
        <w:p>
          <w:pPr>
            <w:pStyle w:val="TOC2"/>
            <w:tabs>
              <w:tab w:val="clear" w:pos="720"/>
              <w:tab w:val="right" w:pos="8630" w:leader="dot"/>
            </w:tabs>
            <w:rPr>
              <w:sz w:val="24"/>
              <w:szCs w:val="24"/>
              <w:lang w:val="en-CA" w:eastAsia="en-CA"/>
            </w:rPr>
          </w:pPr>
          <w:r>
            <w:rPr>
              <w:sz w:val="24"/>
              <w:szCs w:val="24"/>
              <w:lang w:val="en-CA" w:eastAsia="en-CA"/>
            </w:rPr>
            <w:t>A.  Quarter Summary</w:t>
          </w:r>
          <w:r>
            <w:rPr>
              <w:sz w:val="24"/>
              <w:lang w:val="en-CA" w:eastAsia="en-CA"/>
            </w:rPr>
            <w:tab/>
          </w:r>
          <w:hyperlink w:anchor="__RefHeading___Toc513004258">
            <w:r>
              <w:rPr>
                <w:rStyle w:val="IndexLink"/>
                <w:sz w:val="24"/>
                <w:lang w:val="en-CA" w:eastAsia="en-CA"/>
              </w:rPr>
              <w:t>11</w:t>
            </w:r>
          </w:hyperlink>
        </w:p>
        <w:p>
          <w:pPr>
            <w:pStyle w:val="TOC2"/>
            <w:tabs>
              <w:tab w:val="clear" w:pos="720"/>
              <w:tab w:val="right" w:pos="8630" w:leader="dot"/>
            </w:tabs>
            <w:rPr>
              <w:sz w:val="24"/>
              <w:szCs w:val="24"/>
              <w:lang w:val="en-CA" w:eastAsia="en-CA"/>
            </w:rPr>
          </w:pPr>
          <w:r>
            <w:rPr>
              <w:sz w:val="24"/>
              <w:szCs w:val="24"/>
              <w:lang w:val="en-CA" w:eastAsia="en-CA"/>
            </w:rPr>
            <w:t>B.  Year Summary</w:t>
          </w:r>
          <w:r>
            <w:rPr>
              <w:sz w:val="24"/>
              <w:lang w:val="en-CA" w:eastAsia="en-CA"/>
            </w:rPr>
            <w:tab/>
          </w:r>
          <w:hyperlink w:anchor="__RefHeading___Toc513004259">
            <w:r>
              <w:rPr>
                <w:rStyle w:val="IndexLink"/>
                <w:sz w:val="24"/>
                <w:lang w:val="en-CA" w:eastAsia="en-CA"/>
              </w:rPr>
              <w:t>11</w:t>
            </w:r>
          </w:hyperlink>
        </w:p>
        <w:p>
          <w:pPr>
            <w:pStyle w:val="TOC1"/>
            <w:rPr>
              <w:caps w:val="false"/>
              <w:smallCaps w:val="false"/>
              <w:sz w:val="24"/>
              <w:szCs w:val="24"/>
              <w:lang w:val="en-CA" w:eastAsia="en-CA"/>
            </w:rPr>
          </w:pPr>
          <w:r>
            <w:rPr>
              <w:sz w:val="24"/>
              <w:szCs w:val="26"/>
              <w:lang w:val="en-CA" w:eastAsia="en-CA"/>
            </w:rPr>
            <w:t>Appendix A:   Detailed OFO Imbalance Report by Balancing Entity</w:t>
          </w:r>
          <w:r>
            <w:rPr>
              <w:sz w:val="24"/>
              <w:lang w:val="en-CA" w:eastAsia="en-CA"/>
            </w:rPr>
            <w:tab/>
          </w:r>
          <w:hyperlink w:anchor="__RefHeading___Toc513004260">
            <w:r>
              <w:rPr>
                <w:rStyle w:val="IndexLink"/>
                <w:sz w:val="24"/>
                <w:lang w:val="en-CA" w:eastAsia="en-CA"/>
              </w:rPr>
              <w:t>1</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1.</w:t>
            <w:tab/>
            <w:t>Definition of Balancing Entity Types</w:t>
          </w:r>
          <w:r>
            <w:rPr>
              <w:sz w:val="24"/>
              <w:lang w:val="en-CA" w:eastAsia="en-CA"/>
            </w:rPr>
            <w:tab/>
          </w:r>
          <w:hyperlink w:anchor="__RefHeading___Toc513004261">
            <w:r>
              <w:rPr>
                <w:rStyle w:val="IndexLink"/>
                <w:sz w:val="24"/>
                <w:lang w:val="en-CA" w:eastAsia="en-CA"/>
              </w:rPr>
              <w:t>1</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2.</w:t>
            <w:tab/>
            <w:t>Balancing Entity Imbalance Data Elements</w:t>
          </w:r>
          <w:r>
            <w:rPr>
              <w:sz w:val="24"/>
              <w:lang w:val="en-CA" w:eastAsia="en-CA"/>
            </w:rPr>
            <w:tab/>
          </w:r>
          <w:hyperlink w:anchor="__RefHeading___Toc513004262">
            <w:r>
              <w:rPr>
                <w:rStyle w:val="IndexLink"/>
                <w:sz w:val="24"/>
                <w:lang w:val="en-CA" w:eastAsia="en-CA"/>
              </w:rPr>
              <w:t>1</w:t>
            </w:r>
          </w:hyperlink>
        </w:p>
        <w:p>
          <w:pPr>
            <w:pStyle w:val="TOC1"/>
            <w:rPr>
              <w:caps w:val="false"/>
              <w:smallCaps w:val="false"/>
              <w:sz w:val="24"/>
              <w:szCs w:val="24"/>
              <w:lang w:val="en-CA" w:eastAsia="en-CA"/>
            </w:rPr>
          </w:pPr>
          <w:r>
            <w:rPr>
              <w:sz w:val="24"/>
              <w:szCs w:val="26"/>
              <w:lang w:val="en-CA" w:eastAsia="en-CA"/>
            </w:rPr>
            <w:t>Appendix B:   Detailed OFO Imbalance Report for Pipeline</w:t>
          </w:r>
          <w:r>
            <w:rPr>
              <w:sz w:val="24"/>
              <w:lang w:val="en-CA" w:eastAsia="en-CA"/>
            </w:rPr>
            <w:tab/>
          </w:r>
          <w:hyperlink w:anchor="__RefHeading___Toc513004263">
            <w:r>
              <w:rPr>
                <w:rStyle w:val="IndexLink"/>
                <w:sz w:val="24"/>
                <w:lang w:val="en-CA" w:eastAsia="en-CA"/>
              </w:rPr>
              <w:t>1</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1.</w:t>
            <w:tab/>
            <w:t>Data Background:</w:t>
          </w:r>
          <w:r>
            <w:rPr>
              <w:sz w:val="24"/>
              <w:lang w:val="en-CA" w:eastAsia="en-CA"/>
            </w:rPr>
            <w:tab/>
          </w:r>
          <w:hyperlink w:anchor="__RefHeading___Toc513004264">
            <w:r>
              <w:rPr>
                <w:rStyle w:val="IndexLink"/>
                <w:sz w:val="24"/>
                <w:lang w:val="en-CA" w:eastAsia="en-CA"/>
              </w:rPr>
              <w:t>1</w:t>
            </w:r>
          </w:hyperlink>
        </w:p>
        <w:p>
          <w:pPr>
            <w:pStyle w:val="TOC2"/>
            <w:tabs>
              <w:tab w:val="clear" w:pos="720"/>
              <w:tab w:val="left" w:pos="1040" w:leader="none"/>
              <w:tab w:val="right" w:pos="8630" w:leader="dot"/>
            </w:tabs>
            <w:rPr>
              <w:sz w:val="24"/>
              <w:szCs w:val="24"/>
              <w:lang w:val="en-CA" w:eastAsia="en-CA"/>
            </w:rPr>
          </w:pPr>
          <w:r>
            <w:rPr>
              <w:sz w:val="24"/>
              <w:szCs w:val="24"/>
              <w:lang w:val="en-CA" w:eastAsia="en-CA"/>
            </w:rPr>
            <w:t>2.</w:t>
            <w:tab/>
            <w:t>Data Elements</w:t>
          </w:r>
          <w:r>
            <w:rPr>
              <w:sz w:val="24"/>
              <w:lang w:val="en-CA" w:eastAsia="en-CA"/>
            </w:rPr>
            <w:tab/>
          </w:r>
          <w:hyperlink w:anchor="__RefHeading___Toc513004265">
            <w:r>
              <w:rPr>
                <w:rStyle w:val="IndexLink"/>
                <w:sz w:val="24"/>
                <w:lang w:val="en-CA" w:eastAsia="en-CA"/>
              </w:rPr>
              <w:t>1</w:t>
            </w:r>
          </w:hyperlink>
          <w:r>
            <w:rPr>
              <w:rStyle w:val="IndexLink"/>
              <w:sz w:val="24"/>
              <w:lang w:val="en-CA" w:eastAsia="en-CA"/>
            </w:rPr>
            <w:fldChar w:fldCharType="end"/>
          </w:r>
        </w:p>
      </w:sdtContent>
    </w:sdt>
    <w:p>
      <w:pPr>
        <w:pStyle w:val="TableofFigures"/>
        <w:widowControl/>
        <w:rPr>
          <w:sz w:val="24"/>
          <w:szCs w:val="24"/>
          <w:lang w:val="en-CA" w:eastAsia="en-CA"/>
        </w:rPr>
      </w:pPr>
      <w:r>
        <w:rPr>
          <w:sz w:val="24"/>
          <w:szCs w:val="24"/>
          <w:lang w:val="en-CA" w:eastAsia="en-CA"/>
        </w:rPr>
      </w:r>
    </w:p>
    <w:p>
      <w:pPr>
        <w:pStyle w:val="Normal"/>
        <w:widowControl/>
        <w:spacing w:before="240" w:after="120"/>
        <w:jc w:val="center"/>
        <w:rPr/>
      </w:pPr>
      <w:r>
        <w:rPr/>
        <w:t>Table of Figures</w:t>
      </w:r>
    </w:p>
    <w:p>
      <w:pPr>
        <w:pStyle w:val="TableofFigures"/>
        <w:tabs>
          <w:tab w:val="clear" w:pos="720"/>
          <w:tab w:val="right" w:pos="8630" w:leader="dot"/>
        </w:tabs>
        <w:rPr>
          <w:sz w:val="24"/>
          <w:szCs w:val="24"/>
          <w:lang w:val="en-CA" w:eastAsia="en-CA"/>
        </w:rPr>
      </w:pPr>
      <w:r>
        <w:fldChar w:fldCharType="begin"/>
      </w:r>
      <w:r>
        <w:rPr>
          <w:rStyle w:val="IndexLink"/>
          <w:sz w:val="24"/>
          <w:lang w:val="en-CA" w:eastAsia="en-CA"/>
        </w:rPr>
        <w:instrText xml:space="preserve"> TOC \h \z \t "Table Heading 1,1" \c "Figure" </w:instrText>
      </w:r>
      <w:r>
        <w:rPr>
          <w:rStyle w:val="IndexLink"/>
          <w:sz w:val="24"/>
          <w:lang w:val="en-CA" w:eastAsia="en-CA"/>
        </w:rPr>
        <w:fldChar w:fldCharType="separate"/>
      </w:r>
      <w:hyperlink w:anchor="__RefHeading___Toc504897731">
        <w:r>
          <w:rPr>
            <w:rStyle w:val="IndexLink"/>
            <w:sz w:val="24"/>
            <w:lang w:val="en-CA" w:eastAsia="en-CA"/>
          </w:rPr>
          <w:t>Table 1:   Pipeline Inventory Limits, MMcf</w:t>
          <w:tab/>
          <w:t>2</w:t>
        </w:r>
      </w:hyperlink>
    </w:p>
    <w:p>
      <w:pPr>
        <w:pStyle w:val="TableofFigures"/>
        <w:tabs>
          <w:tab w:val="clear" w:pos="720"/>
          <w:tab w:val="right" w:pos="8630" w:leader="dot"/>
        </w:tabs>
        <w:rPr>
          <w:sz w:val="24"/>
          <w:szCs w:val="24"/>
          <w:lang w:val="en-CA" w:eastAsia="en-CA"/>
        </w:rPr>
      </w:pPr>
      <w:hyperlink w:anchor="__RefHeading___Toc504897732">
        <w:r>
          <w:rPr>
            <w:rStyle w:val="IndexLink"/>
            <w:sz w:val="24"/>
            <w:lang w:val="en-CA" w:eastAsia="en-CA"/>
          </w:rPr>
          <w:t>Table 2:   OFO Event Summary</w:t>
          <w:tab/>
          <w:t>3</w:t>
        </w:r>
      </w:hyperlink>
    </w:p>
    <w:p>
      <w:pPr>
        <w:pStyle w:val="TableofFigures"/>
        <w:tabs>
          <w:tab w:val="clear" w:pos="720"/>
          <w:tab w:val="right" w:pos="8630" w:leader="dot"/>
        </w:tabs>
        <w:rPr>
          <w:sz w:val="24"/>
          <w:szCs w:val="24"/>
          <w:lang w:val="en-CA" w:eastAsia="en-CA"/>
        </w:rPr>
      </w:pPr>
      <w:hyperlink w:anchor="__RefHeading___Toc504897733">
        <w:r>
          <w:rPr>
            <w:rStyle w:val="IndexLink"/>
            <w:sz w:val="24"/>
            <w:lang w:val="en-CA" w:eastAsia="en-CA"/>
          </w:rPr>
          <w:t>Table 3:   Comparison of OFOs to Same Quarter in Prior Year</w:t>
          <w:tab/>
          <w:t>5</w:t>
        </w:r>
      </w:hyperlink>
    </w:p>
    <w:p>
      <w:pPr>
        <w:pStyle w:val="TableofFigures"/>
        <w:tabs>
          <w:tab w:val="clear" w:pos="720"/>
          <w:tab w:val="right" w:pos="8630" w:leader="dot"/>
        </w:tabs>
        <w:rPr>
          <w:sz w:val="24"/>
          <w:szCs w:val="24"/>
          <w:lang w:val="en-CA" w:eastAsia="en-CA"/>
        </w:rPr>
      </w:pPr>
      <w:hyperlink w:anchor="__RefHeading___Toc504897734">
        <w:r>
          <w:rPr>
            <w:rStyle w:val="IndexLink"/>
            <w:sz w:val="24"/>
            <w:lang w:val="en-CA" w:eastAsia="en-CA"/>
          </w:rPr>
          <w:t>Table 4:   Distribution of OFOs by Month</w:t>
          <w:tab/>
          <w:t>5</w:t>
        </w:r>
      </w:hyperlink>
    </w:p>
    <w:p>
      <w:pPr>
        <w:pStyle w:val="TableofFigures"/>
        <w:tabs>
          <w:tab w:val="clear" w:pos="720"/>
          <w:tab w:val="right" w:pos="8630" w:leader="dot"/>
        </w:tabs>
        <w:rPr>
          <w:sz w:val="24"/>
          <w:szCs w:val="24"/>
          <w:lang w:val="en-CA" w:eastAsia="en-CA"/>
        </w:rPr>
      </w:pPr>
      <w:hyperlink w:anchor="__RefHeading___Toc504897735">
        <w:r>
          <w:rPr>
            <w:rStyle w:val="IndexLink"/>
            <w:sz w:val="24"/>
            <w:lang w:val="en-CA" w:eastAsia="en-CA"/>
          </w:rPr>
          <w:t>Table 5:   Distribution of OFOs by Day-of-Week</w:t>
          <w:tab/>
          <w:t>6</w:t>
        </w:r>
      </w:hyperlink>
    </w:p>
    <w:p>
      <w:pPr>
        <w:pStyle w:val="TableofFigures"/>
        <w:tabs>
          <w:tab w:val="clear" w:pos="720"/>
          <w:tab w:val="right" w:pos="8630" w:leader="dot"/>
        </w:tabs>
        <w:rPr>
          <w:sz w:val="24"/>
          <w:szCs w:val="24"/>
          <w:lang w:val="en-CA" w:eastAsia="en-CA"/>
        </w:rPr>
      </w:pPr>
      <w:hyperlink w:anchor="__RefHeading___Toc504897736">
        <w:r>
          <w:rPr>
            <w:rStyle w:val="IndexLink"/>
            <w:sz w:val="24"/>
            <w:lang w:val="en-CA" w:eastAsia="en-CA"/>
          </w:rPr>
          <w:t>Table 6:   Net OFO Day Total Customer Imbalances</w:t>
          <w:tab/>
          <w:t>8</w:t>
        </w:r>
      </w:hyperlink>
    </w:p>
    <w:p>
      <w:pPr>
        <w:pStyle w:val="TableofFigures"/>
        <w:tabs>
          <w:tab w:val="clear" w:pos="720"/>
          <w:tab w:val="right" w:pos="8630" w:leader="dot"/>
        </w:tabs>
        <w:rPr>
          <w:sz w:val="24"/>
          <w:szCs w:val="24"/>
          <w:lang w:val="en-CA" w:eastAsia="en-CA"/>
        </w:rPr>
      </w:pPr>
      <w:hyperlink w:anchor="__RefHeading___Toc504897737">
        <w:r>
          <w:rPr>
            <w:rStyle w:val="IndexLink"/>
            <w:sz w:val="24"/>
            <w:lang w:val="en-CA" w:eastAsia="en-CA"/>
          </w:rPr>
          <w:t>Table 7:   California Production Imbalances on OFO Days</w:t>
          <w:tab/>
          <w:t>10</w:t>
        </w:r>
      </w:hyperlink>
    </w:p>
    <w:p>
      <w:pPr>
        <w:pStyle w:val="TableofFigures"/>
        <w:tabs>
          <w:tab w:val="clear" w:pos="720"/>
          <w:tab w:val="right" w:pos="8630" w:leader="dot"/>
        </w:tabs>
        <w:rPr>
          <w:sz w:val="24"/>
          <w:szCs w:val="24"/>
          <w:lang w:val="en-CA" w:eastAsia="en-CA"/>
        </w:rPr>
      </w:pPr>
      <w:hyperlink w:anchor="__RefHeading___Toc504897738">
        <w:r>
          <w:rPr>
            <w:rStyle w:val="IndexLink"/>
            <w:sz w:val="24"/>
            <w:lang w:val="en-CA" w:eastAsia="en-CA"/>
          </w:rPr>
          <w:t>Table A-1:   Balancing Entity Types</w:t>
          <w:tab/>
          <w:t>1</w:t>
        </w:r>
      </w:hyperlink>
      <w:r>
        <w:rPr>
          <w:rStyle w:val="IndexLink"/>
          <w:sz w:val="24"/>
          <w:lang w:val="en-CA" w:eastAsia="en-CA"/>
        </w:rPr>
        <w:fldChar w:fldCharType="end"/>
      </w:r>
    </w:p>
    <w:p>
      <w:pPr>
        <w:sectPr>
          <w:headerReference w:type="default" r:id="rId2"/>
          <w:headerReference w:type="first" r:id="rId3"/>
          <w:footerReference w:type="default" r:id="rId4"/>
          <w:footerReference w:type="first" r:id="rId5"/>
          <w:type w:val="nextPage"/>
          <w:pgSz w:w="12240" w:h="15840"/>
          <w:pgMar w:left="1800" w:right="1800" w:gutter="0" w:header="720" w:top="1296" w:footer="864" w:bottom="1440"/>
          <w:pgNumType w:start="1" w:fmt="lowerRoman"/>
          <w:formProt w:val="false"/>
          <w:titlePg/>
          <w:textDirection w:val="lrTb"/>
          <w:docGrid w:type="default" w:linePitch="360" w:charSpace="0"/>
        </w:sectPr>
        <w:pStyle w:val="Normal"/>
        <w:numPr>
          <w:ilvl w:val="0"/>
          <w:numId w:val="0"/>
        </w:numPr>
        <w:rPr>
          <w:rFonts w:ascii="Arial" w:hAnsi="Arial" w:cs="Arial"/>
          <w:b/>
          <w:sz w:val="24"/>
          <w:szCs w:val="24"/>
          <w:lang w:val="en-CA" w:eastAsia="en-CA"/>
        </w:rPr>
      </w:pPr>
      <w:r>
        <w:rPr>
          <w:rFonts w:cs="Arial" w:ascii="Arial" w:hAnsi="Arial"/>
          <w:b/>
          <w:sz w:val="24"/>
          <w:szCs w:val="24"/>
          <w:lang w:val="en-CA" w:eastAsia="en-CA"/>
        </w:rPr>
      </w:r>
    </w:p>
    <w:p>
      <w:pPr>
        <w:pStyle w:val="Normal"/>
        <w:widowControl/>
        <w:jc w:val="center"/>
        <w:rPr>
          <w:rFonts w:ascii="Georgia" w:hAnsi="Georgia" w:cs="Georgia"/>
          <w:b/>
          <w:sz w:val="28"/>
        </w:rPr>
      </w:pPr>
      <w:r>
        <w:rPr>
          <w:rFonts w:cs="Georgia" w:ascii="Georgia" w:hAnsi="Georgia"/>
          <w:b/>
          <w:sz w:val="28"/>
        </w:rPr>
        <w:t>OFO Report:  First Quarter 2001</w:t>
      </w:r>
    </w:p>
    <w:p>
      <w:pPr>
        <w:pStyle w:val="Normal"/>
        <w:widowControl/>
        <w:jc w:val="center"/>
        <w:rPr>
          <w:rFonts w:ascii="Georgia" w:hAnsi="Georgia" w:cs="Georgia"/>
          <w:b/>
        </w:rPr>
      </w:pPr>
      <w:r>
        <w:rPr>
          <w:rFonts w:cs="Georgia" w:ascii="Georgia" w:hAnsi="Georgia"/>
          <w:b/>
        </w:rPr>
        <w:t>April 30, 2001</w:t>
      </w:r>
    </w:p>
    <w:p>
      <w:pPr>
        <w:pStyle w:val="Heading1"/>
        <w:widowControl/>
        <w:ind w:hanging="0" w:start="0"/>
        <w:rPr/>
      </w:pPr>
      <w:bookmarkStart w:id="0" w:name="__RefHeading___Toc513004240"/>
      <w:bookmarkEnd w:id="0"/>
      <w:r>
        <w:rPr/>
        <w:t>I.</w:t>
        <w:tab/>
        <w:t>BACKGROUND</w:t>
      </w:r>
    </w:p>
    <w:p>
      <w:pPr>
        <w:pStyle w:val="Heading2"/>
        <w:widowControl/>
        <w:rPr/>
      </w:pPr>
      <w:bookmarkStart w:id="1" w:name="__RefHeading___Toc513004241"/>
      <w:bookmarkEnd w:id="1"/>
      <w:r>
        <w:rPr/>
        <w:t>A.</w:t>
        <w:tab/>
        <w:t>Requirements for Report</w:t>
      </w:r>
    </w:p>
    <w:p>
      <w:pPr>
        <w:pStyle w:val="BodyText2"/>
        <w:widowControl/>
        <w:spacing w:before="120" w:after="120"/>
        <w:rPr/>
      </w:pPr>
      <w:r>
        <w:rPr/>
        <w:t>PG&amp;E is providing this Operational Flow Order (OFO) Report (Report) as required by its OFO Settlement Agreement (OFO Settlement or Settlement)</w:t>
      </w:r>
      <w:r>
        <w:rPr>
          <w:rStyle w:val="FootnoteCharacters"/>
          <w:rStyle w:val="FootnoteReference"/>
          <w:sz w:val="24"/>
        </w:rPr>
        <w:footnoteReference w:id="2"/>
      </w:r>
      <w:r>
        <w:rPr/>
        <w:t xml:space="preserve"> and as part of its continued commitment to keep the California natural gas market participants informed.  This is the fourth OFO Report since the April 1, 2000 effective date of the OFO Settlement.  These Reports are provided quarterly.  The purpose of the OFO Report is to document “the number and causes of each customer-specific and system-wide OFO, EFO and ‘trimming’ occasion (‘Event’) within the prior three months.</w:t>
      </w:r>
      <w:r>
        <w:rPr>
          <w:rStyle w:val="FootnoteCharacters"/>
          <w:rStyle w:val="FootnoteReference"/>
        </w:rPr>
        <w:footnoteReference w:id="3"/>
      </w:r>
      <w:r>
        <w:rPr/>
        <w:t xml:space="preserve">”  </w:t>
      </w:r>
    </w:p>
    <w:p>
      <w:pPr>
        <w:pStyle w:val="BodyText2"/>
        <w:widowControl/>
        <w:spacing w:before="60" w:after="120"/>
        <w:rPr/>
      </w:pPr>
      <w:r>
        <w:rPr/>
        <w:t xml:space="preserve">This Report covers the first quarter of 2001 – January 1 through March 31.  The specific requirements per Section C.1.f. of the OFO Settlement are that these quarterly OFO reports will show the sources of system imbalance for each of the three (3) days prior to an Event, as follows:  </w:t>
      </w:r>
    </w:p>
    <w:p>
      <w:pPr>
        <w:pStyle w:val="Bullet3"/>
        <w:widowControl/>
        <w:numPr>
          <w:ilvl w:val="0"/>
          <w:numId w:val="8"/>
        </w:numPr>
        <w:tabs>
          <w:tab w:val="clear" w:pos="720"/>
          <w:tab w:val="left" w:pos="1224" w:leader="none"/>
        </w:tabs>
        <w:spacing w:before="0" w:after="120"/>
        <w:rPr/>
      </w:pPr>
      <w:r>
        <w:rPr/>
        <w:t xml:space="preserve">Imbalance and gas scheduled for each entity responsible for managing imbalances as specified in C.3.b.(3).  For Core Procurement Groups, the supply will be compared to their Determined Usage, which is their Cumulative Imbalance (except for OFO days when the 24-hour forecast will be used).  Each such entity will be identified by a new and unique numerical identifier, and not by name.  </w:t>
      </w:r>
    </w:p>
    <w:p>
      <w:pPr>
        <w:pStyle w:val="Bullet3"/>
        <w:widowControl/>
        <w:numPr>
          <w:ilvl w:val="0"/>
          <w:numId w:val="8"/>
        </w:numPr>
        <w:tabs>
          <w:tab w:val="clear" w:pos="720"/>
          <w:tab w:val="left" w:pos="1224" w:leader="none"/>
        </w:tabs>
        <w:spacing w:before="0" w:after="120"/>
        <w:rPr/>
      </w:pPr>
      <w:r>
        <w:rPr/>
        <w:t>Pipeline imbalances.</w:t>
      </w:r>
    </w:p>
    <w:p>
      <w:pPr>
        <w:pStyle w:val="Bullet3"/>
        <w:widowControl/>
        <w:numPr>
          <w:ilvl w:val="0"/>
          <w:numId w:val="8"/>
        </w:numPr>
        <w:tabs>
          <w:tab w:val="clear" w:pos="720"/>
          <w:tab w:val="left" w:pos="1224" w:leader="none"/>
        </w:tabs>
        <w:spacing w:before="0" w:after="120"/>
        <w:rPr/>
      </w:pPr>
      <w:r>
        <w:rPr/>
        <w:t>Net market center imbalances for the aggregate of parking, lending and storage services.</w:t>
      </w:r>
    </w:p>
    <w:p>
      <w:pPr>
        <w:pStyle w:val="Bullet3"/>
        <w:widowControl/>
        <w:numPr>
          <w:ilvl w:val="0"/>
          <w:numId w:val="8"/>
        </w:numPr>
        <w:tabs>
          <w:tab w:val="clear" w:pos="720"/>
          <w:tab w:val="left" w:pos="1224" w:leader="none"/>
        </w:tabs>
        <w:spacing w:before="0" w:after="120"/>
        <w:rPr/>
      </w:pPr>
      <w:r>
        <w:rPr/>
        <w:t>Pipeline balancing provided by allocated storage.</w:t>
      </w:r>
    </w:p>
    <w:p>
      <w:pPr>
        <w:pStyle w:val="Bullet3"/>
        <w:widowControl/>
        <w:numPr>
          <w:ilvl w:val="0"/>
          <w:numId w:val="8"/>
        </w:numPr>
        <w:tabs>
          <w:tab w:val="clear" w:pos="720"/>
          <w:tab w:val="left" w:pos="1224" w:leader="none"/>
        </w:tabs>
        <w:spacing w:before="0" w:after="120"/>
        <w:rPr/>
      </w:pPr>
      <w:r>
        <w:rPr/>
        <w:t>Beginning, ending and change in pipeline inventory.</w:t>
      </w:r>
    </w:p>
    <w:p>
      <w:pPr>
        <w:pStyle w:val="Bullet3"/>
        <w:widowControl/>
        <w:numPr>
          <w:ilvl w:val="0"/>
          <w:numId w:val="8"/>
        </w:numPr>
        <w:tabs>
          <w:tab w:val="clear" w:pos="720"/>
          <w:tab w:val="left" w:pos="1224" w:leader="none"/>
        </w:tabs>
        <w:spacing w:before="0" w:after="120"/>
        <w:rPr/>
      </w:pPr>
      <w:r>
        <w:rPr/>
        <w:t>Any proposed changes to any OFO and balancing procedures and/or methodology addressed in this Settlement.</w:t>
      </w:r>
    </w:p>
    <w:p>
      <w:pPr>
        <w:pStyle w:val="BodyText2"/>
        <w:widowControl/>
        <w:spacing w:before="60" w:after="120"/>
        <w:rPr/>
      </w:pPr>
      <w:r>
        <w:rPr/>
        <w:t>This report includes detailed balancing and operations data for each OFO, and the three (3) days prior.  In addition, it provides information and analysis of the data to support future discussion of issues by the OFO Forum.</w:t>
      </w:r>
      <w:r>
        <w:rPr>
          <w:i/>
        </w:rPr>
        <w:t xml:space="preserve">  </w:t>
      </w:r>
      <w:r>
        <w:br w:type="page"/>
      </w:r>
    </w:p>
    <w:p>
      <w:pPr>
        <w:pStyle w:val="BodyText2"/>
        <w:widowControl/>
        <w:spacing w:before="60" w:after="120"/>
        <w:rPr>
          <w:i/>
          <w:i/>
        </w:rPr>
      </w:pPr>
      <w:r>
        <w:rPr>
          <w:i/>
        </w:rPr>
      </w:r>
    </w:p>
    <w:p>
      <w:pPr>
        <w:pStyle w:val="Heading2"/>
        <w:widowControl/>
        <w:rPr/>
      </w:pPr>
      <w:bookmarkStart w:id="2" w:name="__RefHeading___Toc513004242"/>
      <w:bookmarkEnd w:id="2"/>
      <w:r>
        <w:rPr/>
        <w:t>B.</w:t>
        <w:tab/>
        <w:t>Criteria For Calling OFOs</w:t>
      </w:r>
    </w:p>
    <w:p>
      <w:pPr>
        <w:pStyle w:val="BodyText2"/>
        <w:widowControl/>
        <w:rPr/>
      </w:pPr>
      <w:r>
        <w:rPr/>
        <w:t>OFOs are called when PG&amp;E’s pipeline inventory is forecast to exceed its upper or lower limits shown in Table 1.  These limits were specified in Section C.2.d, page 7, of the OFO Settlement.</w:t>
      </w:r>
    </w:p>
    <w:p>
      <w:pPr>
        <w:pStyle w:val="TableHeading1"/>
        <w:widowControl/>
        <w:rPr/>
      </w:pPr>
      <w:bookmarkStart w:id="3" w:name="__RefHeading___Toc504897731"/>
      <w:bookmarkEnd w:id="3"/>
      <w:r>
        <w:rPr/>
        <w:t>Table 1:   Pipeline Inventory Limits, MMcf</w:t>
      </w:r>
    </w:p>
    <w:tbl>
      <w:tblPr>
        <w:tblW w:w="6840" w:type="dxa"/>
        <w:jc w:val="start"/>
        <w:tblInd w:w="1440" w:type="dxa"/>
        <w:tblLayout w:type="fixed"/>
        <w:tblCellMar>
          <w:top w:w="0" w:type="dxa"/>
          <w:start w:w="36" w:type="dxa"/>
          <w:bottom w:w="0" w:type="dxa"/>
          <w:end w:w="36" w:type="dxa"/>
        </w:tblCellMar>
      </w:tblPr>
      <w:tblGrid>
        <w:gridCol w:w="1890"/>
        <w:gridCol w:w="2250"/>
        <w:gridCol w:w="1283"/>
        <w:gridCol w:w="1417"/>
      </w:tblGrid>
      <w:tr>
        <w:trPr/>
        <w:tc>
          <w:tcPr>
            <w:tcW w:w="4140" w:type="dxa"/>
            <w:gridSpan w:val="2"/>
            <w:tcBorders/>
          </w:tcPr>
          <w:p>
            <w:pPr>
              <w:pStyle w:val="Normal"/>
              <w:keepNext w:val="true"/>
              <w:keepLines/>
              <w:widowControl/>
              <w:rPr>
                <w:sz w:val="24"/>
              </w:rPr>
            </w:pPr>
            <w:r>
              <w:rPr>
                <w:sz w:val="24"/>
                <w:u w:val="single"/>
              </w:rPr>
              <w:t>Total Demand Forecast, MMcf</w:t>
            </w:r>
          </w:p>
        </w:tc>
        <w:tc>
          <w:tcPr>
            <w:tcW w:w="1283" w:type="dxa"/>
            <w:tcBorders/>
          </w:tcPr>
          <w:p>
            <w:pPr>
              <w:pStyle w:val="Normal"/>
              <w:keepNext w:val="true"/>
              <w:keepLines/>
              <w:widowControl/>
              <w:rPr>
                <w:sz w:val="24"/>
              </w:rPr>
            </w:pPr>
            <w:r>
              <w:rPr>
                <w:sz w:val="24"/>
                <w:u w:val="single"/>
              </w:rPr>
              <w:t>Lower</w:t>
            </w:r>
          </w:p>
        </w:tc>
        <w:tc>
          <w:tcPr>
            <w:tcW w:w="1417" w:type="dxa"/>
            <w:tcBorders/>
          </w:tcPr>
          <w:p>
            <w:pPr>
              <w:pStyle w:val="Normal"/>
              <w:keepNext w:val="true"/>
              <w:keepLines/>
              <w:widowControl/>
              <w:rPr>
                <w:sz w:val="24"/>
              </w:rPr>
            </w:pPr>
            <w:r>
              <w:rPr>
                <w:sz w:val="24"/>
                <w:u w:val="single"/>
              </w:rPr>
              <w:t>Upper</w:t>
            </w:r>
          </w:p>
        </w:tc>
      </w:tr>
      <w:tr>
        <w:trPr/>
        <w:tc>
          <w:tcPr>
            <w:tcW w:w="1890" w:type="dxa"/>
            <w:tcBorders/>
          </w:tcPr>
          <w:p>
            <w:pPr>
              <w:pStyle w:val="Normal"/>
              <w:keepNext w:val="true"/>
              <w:keepLines/>
              <w:widowControl/>
              <w:rPr>
                <w:sz w:val="24"/>
              </w:rPr>
            </w:pPr>
            <w:r>
              <w:rPr>
                <w:sz w:val="24"/>
              </w:rPr>
              <w:t>Low Demand:</w:t>
            </w:r>
          </w:p>
        </w:tc>
        <w:tc>
          <w:tcPr>
            <w:tcW w:w="2250" w:type="dxa"/>
            <w:tcBorders/>
          </w:tcPr>
          <w:p>
            <w:pPr>
              <w:pStyle w:val="Normal"/>
              <w:keepNext w:val="true"/>
              <w:keepLines/>
              <w:widowControl/>
              <w:rPr>
                <w:sz w:val="24"/>
              </w:rPr>
            </w:pPr>
            <w:r>
              <w:rPr>
                <w:sz w:val="24"/>
              </w:rPr>
              <w:t>1,500 to 2,800</w:t>
            </w:r>
          </w:p>
        </w:tc>
        <w:tc>
          <w:tcPr>
            <w:tcW w:w="1283" w:type="dxa"/>
            <w:tcBorders/>
          </w:tcPr>
          <w:p>
            <w:pPr>
              <w:pStyle w:val="Normal"/>
              <w:keepNext w:val="true"/>
              <w:keepLines/>
              <w:widowControl/>
              <w:rPr>
                <w:sz w:val="24"/>
              </w:rPr>
            </w:pPr>
            <w:r>
              <w:rPr>
                <w:sz w:val="24"/>
              </w:rPr>
              <w:t>3,900</w:t>
            </w:r>
          </w:p>
        </w:tc>
        <w:tc>
          <w:tcPr>
            <w:tcW w:w="1417" w:type="dxa"/>
            <w:tcBorders/>
          </w:tcPr>
          <w:p>
            <w:pPr>
              <w:pStyle w:val="Normal"/>
              <w:keepNext w:val="true"/>
              <w:keepLines/>
              <w:widowControl/>
              <w:rPr>
                <w:sz w:val="24"/>
              </w:rPr>
            </w:pPr>
            <w:r>
              <w:rPr>
                <w:sz w:val="24"/>
              </w:rPr>
              <w:t>4,500</w:t>
            </w:r>
          </w:p>
        </w:tc>
      </w:tr>
      <w:tr>
        <w:trPr/>
        <w:tc>
          <w:tcPr>
            <w:tcW w:w="1890" w:type="dxa"/>
            <w:tcBorders/>
          </w:tcPr>
          <w:p>
            <w:pPr>
              <w:pStyle w:val="Normal"/>
              <w:keepNext w:val="true"/>
              <w:keepLines/>
              <w:widowControl/>
              <w:rPr>
                <w:sz w:val="24"/>
              </w:rPr>
            </w:pPr>
            <w:r>
              <w:rPr>
                <w:sz w:val="24"/>
              </w:rPr>
              <w:t>High Demand:</w:t>
            </w:r>
          </w:p>
        </w:tc>
        <w:tc>
          <w:tcPr>
            <w:tcW w:w="2250" w:type="dxa"/>
            <w:tcBorders/>
          </w:tcPr>
          <w:p>
            <w:pPr>
              <w:pStyle w:val="Normal"/>
              <w:keepNext w:val="true"/>
              <w:keepLines/>
              <w:widowControl/>
              <w:rPr>
                <w:sz w:val="24"/>
              </w:rPr>
            </w:pPr>
            <w:r>
              <w:rPr>
                <w:sz w:val="24"/>
              </w:rPr>
              <w:t>2,800 to 3,900</w:t>
            </w:r>
          </w:p>
        </w:tc>
        <w:tc>
          <w:tcPr>
            <w:tcW w:w="1283" w:type="dxa"/>
            <w:tcBorders/>
          </w:tcPr>
          <w:p>
            <w:pPr>
              <w:pStyle w:val="Normal"/>
              <w:keepNext w:val="true"/>
              <w:keepLines/>
              <w:widowControl/>
              <w:rPr>
                <w:sz w:val="24"/>
              </w:rPr>
            </w:pPr>
            <w:r>
              <w:rPr>
                <w:sz w:val="24"/>
              </w:rPr>
              <w:t>4,000</w:t>
            </w:r>
          </w:p>
        </w:tc>
        <w:tc>
          <w:tcPr>
            <w:tcW w:w="1417" w:type="dxa"/>
            <w:tcBorders/>
          </w:tcPr>
          <w:p>
            <w:pPr>
              <w:pStyle w:val="Normal"/>
              <w:keepNext w:val="true"/>
              <w:keepLines/>
              <w:widowControl/>
              <w:rPr>
                <w:sz w:val="24"/>
              </w:rPr>
            </w:pPr>
            <w:r>
              <w:rPr>
                <w:sz w:val="24"/>
              </w:rPr>
              <w:t>4,600</w:t>
            </w:r>
          </w:p>
        </w:tc>
      </w:tr>
    </w:tbl>
    <w:p>
      <w:pPr>
        <w:pStyle w:val="BodyText2"/>
        <w:widowControl/>
        <w:spacing w:before="60" w:after="60"/>
        <w:rPr/>
      </w:pPr>
      <w:r>
        <w:rPr/>
        <w:t>The pipeline also uses assigned firm storage rights of 50 MMcf/day for injection, 70 MMcf/day for withdrawal and 2.2 Bcf of storage inventory to help manage imbalances.  These imbalances may be due to differences in customers’ supply and demand, market center imbalances, differences between forecast and actual demands, pipeline-to-pipeline imbalances, over/under collection of shrinkage, and other factors.  Data on these imbalances is shown in Appendix B of this report for each OFO day and the prior three days.</w:t>
      </w:r>
    </w:p>
    <w:p>
      <w:pPr>
        <w:pStyle w:val="Heading2"/>
        <w:widowControl/>
        <w:rPr/>
      </w:pPr>
      <w:bookmarkStart w:id="4" w:name="__RefHeading___Toc513004243"/>
      <w:bookmarkEnd w:id="4"/>
      <w:r>
        <w:rPr/>
        <w:t>C.</w:t>
        <w:tab/>
        <w:t>Reduced Upper Pipeline Inventory Limit Effective March 15</w:t>
      </w:r>
    </w:p>
    <w:p>
      <w:pPr>
        <w:pStyle w:val="BodyText2"/>
        <w:widowControl/>
        <w:spacing w:before="60" w:after="60"/>
        <w:rPr/>
      </w:pPr>
      <w:r>
        <w:rPr/>
        <w:t>Effective March 15, 2001, the Upper Pipeline Inventory Limit was temporarily set at 4,500 MMcf under all Total Demand conditions due to scheduled work at PG&amp;E’s Kettleman compressor station.  This resulted in a reduction in the upper limit under high demand conditions</w:t>
      </w:r>
      <w:r>
        <w:rPr>
          <w:rStyle w:val="FootnoteCharacters"/>
          <w:rStyle w:val="FootnoteReference"/>
        </w:rPr>
        <w:footnoteReference w:id="4"/>
      </w:r>
      <w:r>
        <w:rPr/>
        <w:t>.  The work at Kettleman compressor station was completed in late April.  The pipeline inventory limits were returned to those listed in Table 1 at that time.</w:t>
      </w:r>
    </w:p>
    <w:p>
      <w:pPr>
        <w:pStyle w:val="Heading1"/>
        <w:widowControl/>
        <w:tabs>
          <w:tab w:val="left" w:pos="360" w:leader="none"/>
          <w:tab w:val="left" w:pos="432" w:leader="none"/>
        </w:tabs>
        <w:spacing w:before="360" w:after="0"/>
        <w:ind w:hanging="0" w:start="0"/>
        <w:rPr/>
      </w:pPr>
      <w:bookmarkStart w:id="5" w:name="__RefHeading___Toc513004244"/>
      <w:bookmarkEnd w:id="5"/>
      <w:r>
        <w:rPr/>
        <w:t>II.</w:t>
        <w:tab/>
        <w:t>OFO EVENTS DURING THE First QUARTER 2001</w:t>
      </w:r>
    </w:p>
    <w:p>
      <w:pPr>
        <w:pStyle w:val="Heading2"/>
        <w:widowControl/>
        <w:rPr/>
      </w:pPr>
      <w:bookmarkStart w:id="6" w:name="__RefHeading___Toc513004245"/>
      <w:bookmarkEnd w:id="6"/>
      <w:r>
        <w:rPr/>
        <w:t>A.</w:t>
        <w:tab/>
        <w:t>OFO Event Summary</w:t>
      </w:r>
    </w:p>
    <w:p>
      <w:pPr>
        <w:pStyle w:val="BodyText2"/>
        <w:widowControl/>
        <w:rPr/>
      </w:pPr>
      <w:r>
        <w:rPr/>
        <w:t>During the quarter ending March 31, 2001, PG&amp;E called a total of seven (7) OFO events.  Four (4) of these were system-wide OFOs, and three (3) were customer-specific OFOs.  During this quarter, four (4) of the OFO events were a result of high pipeline inventory, and three (3) were a result of low pipeline inventory.  There were no EFO events during this quarter.  There was one (1) “trimming”, or receipt point capacity allocation, event during this quarter.  Table 2 provides a summary of each OFO event, with the shaded rows indicating customer-specific OFOs.</w:t>
      </w:r>
      <w:r>
        <w:br w:type="page"/>
      </w:r>
    </w:p>
    <w:p>
      <w:pPr>
        <w:pStyle w:val="BodyText2"/>
        <w:widowControl/>
        <w:rPr/>
      </w:pPr>
      <w:r>
        <w:rPr/>
      </w:r>
    </w:p>
    <w:p>
      <w:pPr>
        <w:pStyle w:val="TableHeading1"/>
        <w:widowControl/>
        <w:rPr/>
      </w:pPr>
      <w:bookmarkStart w:id="7" w:name="__RefHeading___Toc504897732"/>
      <w:bookmarkEnd w:id="7"/>
      <w:r>
        <w:rPr/>
        <w:t>Table 2:   OFO Event Summary</w:t>
      </w:r>
    </w:p>
    <w:tbl>
      <w:tblPr>
        <w:tblW w:w="9540" w:type="dxa"/>
        <w:jc w:val="start"/>
        <w:tblInd w:w="-162" w:type="dxa"/>
        <w:tblLayout w:type="fixed"/>
        <w:tblCellMar>
          <w:top w:w="0" w:type="dxa"/>
          <w:start w:w="108" w:type="dxa"/>
          <w:bottom w:w="0" w:type="dxa"/>
          <w:end w:w="108" w:type="dxa"/>
        </w:tblCellMar>
      </w:tblPr>
      <w:tblGrid>
        <w:gridCol w:w="1458"/>
        <w:gridCol w:w="2340"/>
        <w:gridCol w:w="5742"/>
      </w:tblGrid>
      <w:tr>
        <w:trPr>
          <w:tblHeader w:val="true"/>
        </w:trPr>
        <w:tc>
          <w:tcPr>
            <w:tcW w:w="1458"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ind w:end="-18"/>
              <w:rPr>
                <w:b/>
                <w:sz w:val="20"/>
              </w:rPr>
            </w:pPr>
            <w:r>
              <w:rPr>
                <w:b/>
                <w:sz w:val="20"/>
              </w:rPr>
              <w:t>Date</w:t>
            </w:r>
          </w:p>
        </w:tc>
        <w:tc>
          <w:tcPr>
            <w:tcW w:w="2340"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rPr>
                <w:b/>
                <w:sz w:val="20"/>
              </w:rPr>
            </w:pPr>
            <w:r>
              <w:rPr>
                <w:b/>
                <w:sz w:val="20"/>
              </w:rPr>
              <w:t xml:space="preserve">   </w:t>
            </w:r>
            <w:r>
              <w:rPr>
                <w:b/>
                <w:sz w:val="20"/>
              </w:rPr>
              <w:t>Type</w:t>
            </w:r>
          </w:p>
        </w:tc>
        <w:tc>
          <w:tcPr>
            <w:tcW w:w="5742" w:type="dxa"/>
            <w:tcBorders>
              <w:top w:val="single" w:sz="6" w:space="0" w:color="808080"/>
              <w:start w:val="single" w:sz="6" w:space="0" w:color="808080"/>
              <w:bottom w:val="single" w:sz="6" w:space="0" w:color="808080"/>
              <w:end w:val="single" w:sz="6" w:space="0" w:color="808080"/>
            </w:tcBorders>
          </w:tcPr>
          <w:p>
            <w:pPr>
              <w:pStyle w:val="Normal"/>
              <w:widowControl/>
              <w:spacing w:before="60" w:after="60"/>
              <w:rPr>
                <w:b/>
                <w:sz w:val="20"/>
              </w:rPr>
            </w:pPr>
            <w:r>
              <w:rPr>
                <w:b/>
                <w:sz w:val="20"/>
              </w:rPr>
              <w:t xml:space="preserve">   </w:t>
            </w:r>
            <w:r>
              <w:rPr>
                <w:b/>
                <w:sz w:val="20"/>
              </w:rPr>
              <w:t>Cause / Comments</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Thursday</w:t>
            </w:r>
          </w:p>
          <w:p>
            <w:pPr>
              <w:pStyle w:val="Normal"/>
              <w:widowControl/>
              <w:rPr>
                <w:b/>
                <w:sz w:val="20"/>
              </w:rPr>
            </w:pPr>
            <w:r>
              <w:rPr>
                <w:b/>
                <w:sz w:val="20"/>
              </w:rPr>
              <w:t>February 1,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b/>
                <w:bCs/>
                <w:i/>
                <w:i/>
                <w:iCs/>
                <w:sz w:val="20"/>
              </w:rPr>
            </w:pPr>
            <w:r>
              <w:rPr>
                <w:sz w:val="20"/>
              </w:rPr>
              <w:t>●</w:t>
            </w:r>
            <w:r>
              <w:rPr>
                <w:rFonts w:cs="Wingdings" w:ascii="Wingdings" w:hAnsi="Wingdings"/>
                <w:sz w:val="20"/>
              </w:rPr>
              <w:tab/>
            </w:r>
            <w:r>
              <w:rPr>
                <w:b/>
                <w:bCs/>
                <w:i/>
                <w:iCs/>
                <w:sz w:val="20"/>
                <w:u w:val="single"/>
              </w:rPr>
              <w:t>Low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2%</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3,782 MMcf was below the lower limit of 4,000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there were more than 10 balancing entities targeted.</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Monday</w:t>
            </w:r>
          </w:p>
          <w:p>
            <w:pPr>
              <w:pStyle w:val="Normal"/>
              <w:widowControl/>
              <w:rPr>
                <w:b/>
                <w:sz w:val="20"/>
              </w:rPr>
            </w:pPr>
            <w:r>
              <w:rPr>
                <w:b/>
                <w:sz w:val="20"/>
              </w:rPr>
              <w:t>February 5,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0%</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4,909 MMcf exceeded upper limit of 4,600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120" w:after="0"/>
              <w:rPr>
                <w:sz w:val="20"/>
              </w:rPr>
            </w:pPr>
            <w:r>
              <w:rPr>
                <w:sz w:val="20"/>
              </w:rPr>
              <w:t>Wednesday</w:t>
            </w:r>
          </w:p>
          <w:p>
            <w:pPr>
              <w:pStyle w:val="Normal"/>
              <w:widowControl/>
              <w:rPr>
                <w:b/>
                <w:sz w:val="20"/>
              </w:rPr>
            </w:pPr>
            <w:r>
              <w:rPr>
                <w:b/>
                <w:sz w:val="20"/>
              </w:rPr>
              <w:t>February 21, 2001</w:t>
            </w:r>
          </w:p>
        </w:tc>
        <w:tc>
          <w:tcPr>
            <w:tcW w:w="2340"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pPr>
            <w:r>
              <w:rPr>
                <w:sz w:val="20"/>
              </w:rPr>
              <w:t>●</w:t>
            </w:r>
            <w:r>
              <w:rPr>
                <w:rFonts w:cs="Wingdings" w:ascii="Wingdings" w:hAnsi="Wingdings"/>
                <w:sz w:val="20"/>
              </w:rPr>
              <w:tab/>
            </w:r>
            <w:r>
              <w:rPr>
                <w:b/>
                <w:bCs/>
                <w:i/>
                <w:iCs/>
                <w:sz w:val="20"/>
                <w:u w:val="single"/>
              </w:rPr>
              <w:t>Low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2%</w:t>
            </w:r>
          </w:p>
          <w:p>
            <w:pPr>
              <w:pStyle w:val="Normal"/>
              <w:widowControl/>
              <w:ind w:hanging="288" w:start="288" w:end="0"/>
              <w:rPr/>
            </w:pPr>
            <w:r>
              <w:rPr>
                <w:sz w:val="20"/>
              </w:rPr>
              <w:t>●</w:t>
            </w:r>
            <w:r>
              <w:rPr>
                <w:rFonts w:cs="Wingdings" w:ascii="Wingdings" w:hAnsi="Wingdings"/>
                <w:sz w:val="20"/>
              </w:rPr>
              <w:tab/>
            </w:r>
            <w:r>
              <w:rPr>
                <w:sz w:val="20"/>
              </w:rPr>
              <w:t>Customers:  7</w:t>
            </w:r>
          </w:p>
        </w:tc>
        <w:tc>
          <w:tcPr>
            <w:tcW w:w="5742"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3,868 MMcf was below lower limit of 4,000 MMcf.</w:t>
            </w:r>
          </w:p>
          <w:p>
            <w:pPr>
              <w:pStyle w:val="Normal"/>
              <w:widowControl/>
              <w:spacing w:before="60" w:after="0"/>
              <w:ind w:hanging="288" w:start="288" w:end="0"/>
              <w:rPr>
                <w:sz w:val="20"/>
              </w:rPr>
            </w:pPr>
            <w:r>
              <w:rPr>
                <w:sz w:val="20"/>
              </w:rPr>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120" w:after="0"/>
              <w:rPr>
                <w:sz w:val="20"/>
              </w:rPr>
            </w:pPr>
            <w:r>
              <w:rPr>
                <w:sz w:val="20"/>
              </w:rPr>
              <w:t xml:space="preserve">Monday </w:t>
            </w:r>
          </w:p>
          <w:p>
            <w:pPr>
              <w:pStyle w:val="Normal"/>
              <w:widowControl/>
              <w:rPr>
                <w:b/>
                <w:sz w:val="20"/>
              </w:rPr>
            </w:pPr>
            <w:r>
              <w:rPr>
                <w:b/>
                <w:sz w:val="20"/>
              </w:rPr>
              <w:t>February 26, 2001</w:t>
            </w:r>
          </w:p>
        </w:tc>
        <w:tc>
          <w:tcPr>
            <w:tcW w:w="2340"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r>
              <w:rPr>
                <w:sz w:val="20"/>
              </w:rPr>
              <w:t xml:space="preserve"> </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Low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2%</w:t>
            </w:r>
          </w:p>
          <w:p>
            <w:pPr>
              <w:pStyle w:val="Normal"/>
              <w:widowControl/>
              <w:ind w:hanging="288" w:start="288" w:end="0"/>
              <w:rPr/>
            </w:pPr>
            <w:r>
              <w:rPr>
                <w:sz w:val="20"/>
              </w:rPr>
              <w:t>●</w:t>
            </w:r>
            <w:r>
              <w:rPr>
                <w:rFonts w:cs="Wingdings" w:ascii="Wingdings" w:hAnsi="Wingdings"/>
                <w:sz w:val="20"/>
              </w:rPr>
              <w:tab/>
            </w:r>
            <w:r>
              <w:rPr>
                <w:sz w:val="20"/>
              </w:rPr>
              <w:t>Customers:  1</w:t>
            </w:r>
          </w:p>
        </w:tc>
        <w:tc>
          <w:tcPr>
            <w:tcW w:w="5742"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3,890 MMcf was below lower limit of 4,000 MMcf.</w:t>
            </w:r>
          </w:p>
          <w:p>
            <w:pPr>
              <w:pStyle w:val="Normal"/>
              <w:widowControl/>
              <w:ind w:hanging="288" w:start="288" w:end="0"/>
              <w:rPr>
                <w:sz w:val="20"/>
              </w:rPr>
            </w:pPr>
            <w:r>
              <w:rPr>
                <w:sz w:val="20"/>
              </w:rPr>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120" w:after="0"/>
              <w:rPr>
                <w:sz w:val="20"/>
              </w:rPr>
            </w:pPr>
            <w:r>
              <w:rPr>
                <w:sz w:val="20"/>
              </w:rPr>
              <w:t>Tuesday</w:t>
            </w:r>
          </w:p>
          <w:p>
            <w:pPr>
              <w:pStyle w:val="Normal"/>
              <w:widowControl/>
              <w:rPr>
                <w:b/>
                <w:sz w:val="20"/>
              </w:rPr>
            </w:pPr>
            <w:r>
              <w:rPr>
                <w:b/>
                <w:sz w:val="20"/>
              </w:rPr>
              <w:t>March 20, 2001</w:t>
            </w:r>
          </w:p>
        </w:tc>
        <w:tc>
          <w:tcPr>
            <w:tcW w:w="2340"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b/>
                <w:sz w:val="20"/>
              </w:rPr>
              <w:t>Customer-Specific</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Tolerance Band:  1%</w:t>
            </w:r>
          </w:p>
          <w:p>
            <w:pPr>
              <w:pStyle w:val="Normal"/>
              <w:widowControl/>
              <w:ind w:hanging="288" w:start="288" w:end="0"/>
              <w:rPr/>
            </w:pPr>
            <w:r>
              <w:rPr>
                <w:sz w:val="20"/>
              </w:rPr>
              <w:t>●</w:t>
            </w:r>
            <w:r>
              <w:rPr>
                <w:rFonts w:cs="Wingdings" w:ascii="Wingdings" w:hAnsi="Wingdings"/>
                <w:sz w:val="20"/>
              </w:rPr>
              <w:tab/>
            </w:r>
            <w:r>
              <w:rPr>
                <w:sz w:val="20"/>
              </w:rPr>
              <w:t>Customers:  2</w:t>
            </w:r>
          </w:p>
        </w:tc>
        <w:tc>
          <w:tcPr>
            <w:tcW w:w="5742" w:type="dxa"/>
            <w:tcBorders>
              <w:top w:val="single" w:sz="6" w:space="0" w:color="808080"/>
              <w:start w:val="single" w:sz="6" w:space="0" w:color="808080"/>
              <w:bottom w:val="single" w:sz="6" w:space="0" w:color="808080"/>
              <w:end w:val="single" w:sz="6" w:space="0" w:color="808080"/>
            </w:tcBorders>
            <w:shd w:fill="E6E6E6"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4,652 MMcf exceeded upper limit of 4,500 MMcf.</w:t>
            </w:r>
          </w:p>
          <w:p>
            <w:pPr>
              <w:pStyle w:val="Normal"/>
              <w:widowControl/>
              <w:ind w:hanging="288" w:start="288" w:end="0"/>
              <w:rPr/>
            </w:pPr>
            <w:r>
              <w:rPr>
                <w:sz w:val="20"/>
              </w:rPr>
              <w:t>●</w:t>
            </w:r>
            <w:r>
              <w:rPr>
                <w:rFonts w:cs="Wingdings" w:ascii="Wingdings" w:hAnsi="Wingdings"/>
                <w:sz w:val="20"/>
              </w:rPr>
              <w:tab/>
            </w:r>
            <w:r>
              <w:rPr>
                <w:sz w:val="20"/>
              </w:rPr>
              <w:t>Receipt point capacity allocation, or “trimming”, event was also required during the gas day to bring pipeline inventory under control.</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Wednesday</w:t>
            </w:r>
          </w:p>
          <w:p>
            <w:pPr>
              <w:pStyle w:val="Normal"/>
              <w:widowControl/>
              <w:rPr>
                <w:b/>
                <w:sz w:val="20"/>
              </w:rPr>
            </w:pPr>
            <w:r>
              <w:rPr>
                <w:b/>
                <w:sz w:val="20"/>
              </w:rPr>
              <w:t>March 21,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Stage 3 at $5.00/Dth</w:t>
            </w:r>
          </w:p>
          <w:p>
            <w:pPr>
              <w:pStyle w:val="Normal"/>
              <w:widowControl/>
              <w:ind w:hanging="288" w:start="288" w:end="0"/>
              <w:rPr/>
            </w:pPr>
            <w:r>
              <w:rPr>
                <w:sz w:val="20"/>
              </w:rPr>
              <w:t>●</w:t>
            </w:r>
            <w:r>
              <w:rPr>
                <w:rFonts w:cs="Wingdings" w:ascii="Wingdings" w:hAnsi="Wingdings"/>
                <w:sz w:val="20"/>
              </w:rPr>
              <w:tab/>
            </w:r>
            <w:r>
              <w:rPr>
                <w:sz w:val="20"/>
              </w:rPr>
              <w:t xml:space="preserve">Tolerance Band:  1% </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4,923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r>
        <w:trPr>
          <w:trHeight w:val="1320" w:hRule="atLeast"/>
        </w:trPr>
        <w:tc>
          <w:tcPr>
            <w:tcW w:w="1458"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120" w:after="0"/>
              <w:rPr>
                <w:sz w:val="20"/>
              </w:rPr>
            </w:pPr>
            <w:r>
              <w:rPr>
                <w:sz w:val="20"/>
              </w:rPr>
              <w:t>Thursday</w:t>
            </w:r>
          </w:p>
          <w:p>
            <w:pPr>
              <w:pStyle w:val="Normal"/>
              <w:widowControl/>
              <w:rPr>
                <w:b/>
                <w:sz w:val="20"/>
              </w:rPr>
            </w:pPr>
            <w:r>
              <w:rPr>
                <w:b/>
                <w:sz w:val="20"/>
              </w:rPr>
              <w:t>March 22, 2001</w:t>
            </w:r>
          </w:p>
        </w:tc>
        <w:tc>
          <w:tcPr>
            <w:tcW w:w="2340"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b/>
                <w:sz w:val="20"/>
              </w:rPr>
              <w:t>System-Wide</w:t>
            </w:r>
          </w:p>
          <w:p>
            <w:pPr>
              <w:pStyle w:val="Normal"/>
              <w:widowControl/>
              <w:ind w:hanging="288" w:start="288" w:end="0"/>
              <w:rPr>
                <w:sz w:val="20"/>
              </w:rPr>
            </w:pPr>
            <w:r>
              <w:rPr>
                <w:sz w:val="20"/>
              </w:rPr>
              <w:t>●</w:t>
            </w:r>
            <w:r>
              <w:rPr>
                <w:rFonts w:cs="Wingdings" w:ascii="Wingdings" w:hAnsi="Wingdings"/>
                <w:sz w:val="20"/>
              </w:rPr>
              <w:tab/>
            </w:r>
            <w:r>
              <w:rPr>
                <w:b/>
                <w:bCs/>
                <w:i/>
                <w:iCs/>
                <w:sz w:val="20"/>
                <w:u w:val="single"/>
              </w:rPr>
              <w:t>High Inventory</w:t>
            </w:r>
          </w:p>
          <w:p>
            <w:pPr>
              <w:pStyle w:val="Normal"/>
              <w:widowControl/>
              <w:ind w:hanging="288" w:start="288" w:end="0"/>
              <w:rPr/>
            </w:pPr>
            <w:r>
              <w:rPr>
                <w:sz w:val="20"/>
              </w:rPr>
              <w:t>●</w:t>
            </w:r>
            <w:r>
              <w:rPr>
                <w:rFonts w:cs="Wingdings" w:ascii="Wingdings" w:hAnsi="Wingdings"/>
                <w:sz w:val="20"/>
              </w:rPr>
              <w:tab/>
            </w:r>
            <w:r>
              <w:rPr>
                <w:sz w:val="20"/>
              </w:rPr>
              <w:t xml:space="preserve">Stage 3 at $5.00/Dth </w:t>
            </w:r>
          </w:p>
          <w:p>
            <w:pPr>
              <w:pStyle w:val="Normal"/>
              <w:widowControl/>
              <w:ind w:hanging="288" w:start="288" w:end="0"/>
              <w:rPr/>
            </w:pPr>
            <w:r>
              <w:rPr>
                <w:sz w:val="20"/>
              </w:rPr>
              <w:t>●</w:t>
            </w:r>
            <w:r>
              <w:rPr>
                <w:rFonts w:cs="Wingdings" w:ascii="Wingdings" w:hAnsi="Wingdings"/>
                <w:sz w:val="20"/>
              </w:rPr>
              <w:tab/>
            </w:r>
            <w:r>
              <w:rPr>
                <w:sz w:val="20"/>
              </w:rPr>
              <w:t>Tolerance Band:  3%</w:t>
            </w:r>
          </w:p>
        </w:tc>
        <w:tc>
          <w:tcPr>
            <w:tcW w:w="5742" w:type="dxa"/>
            <w:tcBorders>
              <w:top w:val="single" w:sz="6" w:space="0" w:color="808080"/>
              <w:start w:val="single" w:sz="6" w:space="0" w:color="808080"/>
              <w:bottom w:val="single" w:sz="6" w:space="0" w:color="808080"/>
              <w:end w:val="single" w:sz="6" w:space="0" w:color="808080"/>
            </w:tcBorders>
            <w:shd w:fill="FFFFFF" w:val="clear"/>
          </w:tcPr>
          <w:p>
            <w:pPr>
              <w:pStyle w:val="Normal"/>
              <w:widowControl/>
              <w:spacing w:before="60" w:after="0"/>
              <w:ind w:hanging="288" w:start="288" w:end="0"/>
              <w:rPr/>
            </w:pPr>
            <w:r>
              <w:rPr>
                <w:sz w:val="20"/>
              </w:rPr>
              <w:t>●</w:t>
            </w:r>
            <w:r>
              <w:rPr>
                <w:rFonts w:cs="Wingdings" w:ascii="Wingdings" w:hAnsi="Wingdings"/>
                <w:sz w:val="20"/>
              </w:rPr>
              <w:tab/>
            </w:r>
            <w:r>
              <w:rPr>
                <w:sz w:val="20"/>
              </w:rPr>
              <w:t>Projected ending inventory of 4,954 MMcf exceeded upper limit of 4,500 MMcf.</w:t>
            </w:r>
          </w:p>
          <w:p>
            <w:pPr>
              <w:pStyle w:val="Normal"/>
              <w:widowControl/>
              <w:ind w:hanging="288" w:start="288" w:end="0"/>
              <w:rPr/>
            </w:pPr>
            <w:r>
              <w:rPr>
                <w:sz w:val="20"/>
              </w:rPr>
              <w:t>●</w:t>
            </w:r>
            <w:r>
              <w:rPr>
                <w:rFonts w:cs="Wingdings" w:ascii="Wingdings" w:hAnsi="Wingdings"/>
                <w:sz w:val="20"/>
              </w:rPr>
              <w:tab/>
            </w:r>
            <w:r>
              <w:rPr>
                <w:sz w:val="20"/>
              </w:rPr>
              <w:t>Customer-Specific OFO not called because targeted customers’ forecast imbalance relief was insufficient</w:t>
            </w:r>
          </w:p>
        </w:tc>
      </w:tr>
    </w:tbl>
    <w:p>
      <w:pPr>
        <w:pStyle w:val="BodyText2"/>
        <w:rPr/>
      </w:pPr>
      <w:r>
        <w:rPr/>
      </w:r>
    </w:p>
    <w:p>
      <w:pPr>
        <w:pStyle w:val="Heading2"/>
        <w:widowControl/>
        <w:spacing w:before="360" w:after="0"/>
        <w:rPr/>
      </w:pPr>
      <w:bookmarkStart w:id="8" w:name="__RefHeading___Toc513004246"/>
      <w:bookmarkEnd w:id="8"/>
      <w:r>
        <w:rPr/>
        <w:t xml:space="preserve">B. </w:t>
        <w:tab/>
        <w:t>Receipt Point Capacity Allocation Event</w:t>
      </w:r>
    </w:p>
    <w:p>
      <w:pPr>
        <w:pStyle w:val="BodyText2"/>
        <w:rPr/>
      </w:pPr>
      <w:r>
        <w:rPr/>
        <w:t xml:space="preserve">On March 20, 2001, PG&amp;E was required to implement a receipt point capacity allocation, or “trimming”, event to manage the extremely high system pipeline inventory.  </w:t>
      </w:r>
    </w:p>
    <w:p>
      <w:pPr>
        <w:pStyle w:val="BodyText2"/>
        <w:rPr/>
      </w:pPr>
      <w:r>
        <w:rPr>
          <w:color w:val="000000"/>
        </w:rPr>
        <w:t>PG&amp;E issued a customer-specific OFO for March 20, and a system-wide OFO for March 21.  Despite these measures, system inventory was forecast to exceed an operationally safe level during the gas day on March 20. Therefore, a receipt point capacity allocation was implemented at all upstream pipeline interconnects during the Intraday1 nomination cycle</w:t>
      </w:r>
      <w:r>
        <w:rPr>
          <w:rStyle w:val="FootnoteCharacters"/>
          <w:rStyle w:val="FootnoteReference"/>
          <w:color w:val="000000"/>
        </w:rPr>
        <w:footnoteReference w:id="5"/>
      </w:r>
      <w:r>
        <w:rPr>
          <w:color w:val="000000"/>
        </w:rPr>
        <w:t xml:space="preserve"> to reduce the incoming gas supply, and thereby reduce the pipeline inventory levels.</w:t>
      </w:r>
    </w:p>
    <w:p>
      <w:pPr>
        <w:pStyle w:val="BodyText2"/>
        <w:rPr>
          <w:color w:val="000000"/>
        </w:rPr>
      </w:pPr>
      <w:r>
        <w:rPr>
          <w:color w:val="000000"/>
        </w:rPr>
        <w:t xml:space="preserve">During this receipt point capacity allocation, all as-available Baja and Redwood path transmission service was reduced to zero.  All firm Baja and Redwood path transmission service was reduced by approximately 10%, to 90% of the original scheduled receipt quantities.  This resulted in an on-system supply reduction of approximately 350 MMcf for the day.  </w:t>
      </w:r>
    </w:p>
    <w:p>
      <w:pPr>
        <w:pStyle w:val="Heading2"/>
        <w:widowControl/>
        <w:spacing w:before="360" w:after="0"/>
        <w:rPr/>
      </w:pPr>
      <w:bookmarkStart w:id="9" w:name="__RefHeading___Toc513004247"/>
      <w:bookmarkEnd w:id="9"/>
      <w:r>
        <w:rPr/>
        <w:t>C.</w:t>
        <w:tab/>
        <w:t>System-Wide OFO Reduction</w:t>
      </w:r>
    </w:p>
    <w:p>
      <w:pPr>
        <w:pStyle w:val="BodyText2"/>
        <w:widowControl/>
        <w:rPr/>
      </w:pPr>
      <w:r>
        <w:rPr/>
        <w:t>One objective of the OFO Settlement Agreement was to “significantly reduce the number of system-wide OFOs on the PG&amp;E system.”</w:t>
      </w:r>
      <w:r>
        <w:rPr>
          <w:rStyle w:val="FootnoteCharacters"/>
          <w:rStyle w:val="FootnoteReference"/>
          <w:rFonts w:cs="Arial" w:ascii="Arial" w:hAnsi="Arial"/>
          <w:sz w:val="24"/>
        </w:rPr>
        <w:footnoteReference w:id="6"/>
      </w:r>
      <w:r>
        <w:rPr/>
        <w:t xml:space="preserve">  The specific goal was to reduce, during the first six months of the Settlement, the number of system-wide OFOs by at least twenty-five (25) percent compared to the same six months in the prior year.</w:t>
      </w:r>
      <w:r>
        <w:rPr>
          <w:rStyle w:val="FootnoteCharacters"/>
          <w:rStyle w:val="FootnoteReference"/>
          <w:rFonts w:cs="Arial" w:ascii="Arial" w:hAnsi="Arial"/>
          <w:sz w:val="24"/>
        </w:rPr>
        <w:footnoteReference w:id="7"/>
      </w:r>
      <w:r>
        <w:rPr/>
        <w:t xml:space="preserve">  This was accomplished, as documented in the previous OFO Report and illustrated in Table 3, below.  </w:t>
      </w:r>
    </w:p>
    <w:p>
      <w:pPr>
        <w:pStyle w:val="BodyText2"/>
        <w:widowControl/>
        <w:rPr/>
      </w:pPr>
      <w:r>
        <w:rPr/>
        <w:t xml:space="preserve">As shown in the following table, the number of system-wide OFOs for the reported quarter declined by 60% compared to the same quarter in the prior year.  During the first year under the OFO Settlement, the number of system-wide OFOs has declined by 63%.  </w:t>
      </w:r>
    </w:p>
    <w:p>
      <w:pPr>
        <w:pStyle w:val="BodyText2"/>
        <w:widowControl/>
        <w:rPr/>
      </w:pPr>
      <w:r>
        <w:rPr/>
        <w:t>The OFO Settlement was designed to use more customer-specific OFOs.  This has occurred with the total customer-specific OFOs increasing from 2 to 23.  However, the total number of OFOs since the implementation of the OFO Settlement has decreased by almost 20% (41 compared to 51).</w:t>
      </w:r>
    </w:p>
    <w:p>
      <w:pPr>
        <w:pStyle w:val="BodyText2"/>
        <w:widowControl/>
        <w:rPr/>
      </w:pPr>
      <w:r>
        <w:rPr/>
      </w:r>
    </w:p>
    <w:p>
      <w:pPr>
        <w:pStyle w:val="BodyText2"/>
        <w:widowControl/>
        <w:rPr/>
      </w:pPr>
      <w:r>
        <w:rPr/>
      </w:r>
    </w:p>
    <w:p>
      <w:pPr>
        <w:pStyle w:val="TableHeading1"/>
        <w:rPr/>
      </w:pPr>
      <w:bookmarkStart w:id="10" w:name="__RefHeading___Toc504897733"/>
      <w:bookmarkEnd w:id="10"/>
      <w:r>
        <w:rPr/>
        <w:t>Table 3:   Comparison of OFOs to Same Quarter in Prior Year</w:t>
      </w:r>
    </w:p>
    <w:tbl>
      <w:tblPr>
        <w:tblW w:w="8766" w:type="dxa"/>
        <w:jc w:val="start"/>
        <w:tblInd w:w="504" w:type="dxa"/>
        <w:tblLayout w:type="fixed"/>
        <w:tblCellMar>
          <w:top w:w="0" w:type="dxa"/>
          <w:start w:w="108" w:type="dxa"/>
          <w:bottom w:w="0" w:type="dxa"/>
          <w:end w:w="108" w:type="dxa"/>
        </w:tblCellMar>
      </w:tblPr>
      <w:tblGrid>
        <w:gridCol w:w="1476"/>
        <w:gridCol w:w="1035"/>
        <w:gridCol w:w="1035"/>
        <w:gridCol w:w="1035"/>
        <w:gridCol w:w="1035"/>
        <w:gridCol w:w="1035"/>
        <w:gridCol w:w="1035"/>
        <w:gridCol w:w="1080"/>
      </w:tblGrid>
      <w:tr>
        <w:trPr>
          <w:trHeight w:val="400" w:hRule="atLeast"/>
        </w:trPr>
        <w:tc>
          <w:tcPr>
            <w:tcW w:w="1476" w:type="dxa"/>
            <w:tcBorders/>
          </w:tcPr>
          <w:p>
            <w:pPr>
              <w:pStyle w:val="Normal"/>
              <w:keepNext w:val="true"/>
              <w:keepLines/>
              <w:widowControl/>
              <w:snapToGrid w:val="false"/>
              <w:rPr>
                <w:sz w:val="22"/>
              </w:rPr>
            </w:pPr>
            <w:r>
              <w:rPr>
                <w:sz w:val="22"/>
              </w:rPr>
            </w:r>
          </w:p>
        </w:tc>
        <w:tc>
          <w:tcPr>
            <w:tcW w:w="3105" w:type="dxa"/>
            <w:gridSpan w:val="3"/>
            <w:tcBorders>
              <w:top w:val="single" w:sz="12" w:space="0" w:color="000000"/>
              <w:start w:val="single" w:sz="12" w:space="0" w:color="000000"/>
              <w:end w:val="single" w:sz="12" w:space="0" w:color="000000"/>
            </w:tcBorders>
          </w:tcPr>
          <w:p>
            <w:pPr>
              <w:pStyle w:val="Normal"/>
              <w:keepNext w:val="true"/>
              <w:keepLines/>
              <w:widowControl/>
              <w:jc w:val="center"/>
              <w:rPr>
                <w:sz w:val="22"/>
              </w:rPr>
            </w:pPr>
            <w:r>
              <w:rPr>
                <w:sz w:val="22"/>
              </w:rPr>
              <w:t>Prior Year</w:t>
            </w:r>
          </w:p>
          <w:p>
            <w:pPr>
              <w:pStyle w:val="Normal"/>
              <w:keepNext w:val="true"/>
              <w:keepLines/>
              <w:widowControl/>
              <w:jc w:val="center"/>
              <w:rPr>
                <w:sz w:val="22"/>
              </w:rPr>
            </w:pPr>
            <w:r>
              <w:rPr>
                <w:sz w:val="22"/>
              </w:rPr>
              <w:t>April 1999 – March 2000</w:t>
            </w:r>
          </w:p>
        </w:tc>
        <w:tc>
          <w:tcPr>
            <w:tcW w:w="3105" w:type="dxa"/>
            <w:gridSpan w:val="3"/>
            <w:tcBorders>
              <w:top w:val="single" w:sz="12" w:space="0" w:color="000000"/>
              <w:start w:val="single" w:sz="12" w:space="0" w:color="000000"/>
              <w:end w:val="single" w:sz="12" w:space="0" w:color="000000"/>
            </w:tcBorders>
          </w:tcPr>
          <w:p>
            <w:pPr>
              <w:pStyle w:val="Normal"/>
              <w:keepNext w:val="true"/>
              <w:keepLines/>
              <w:widowControl/>
              <w:jc w:val="center"/>
              <w:rPr>
                <w:sz w:val="22"/>
              </w:rPr>
            </w:pPr>
            <w:r>
              <w:rPr>
                <w:sz w:val="22"/>
              </w:rPr>
              <w:t>Current Year</w:t>
            </w:r>
          </w:p>
          <w:p>
            <w:pPr>
              <w:pStyle w:val="Normal"/>
              <w:keepNext w:val="true"/>
              <w:keepLines/>
              <w:widowControl/>
              <w:jc w:val="center"/>
              <w:rPr>
                <w:sz w:val="22"/>
              </w:rPr>
            </w:pPr>
            <w:r>
              <w:rPr>
                <w:sz w:val="22"/>
              </w:rPr>
              <w:t>April 2000 – March 2001</w:t>
            </w:r>
          </w:p>
        </w:tc>
        <w:tc>
          <w:tcPr>
            <w:tcW w:w="1080" w:type="dxa"/>
            <w:tcBorders>
              <w:top w:val="single" w:sz="12" w:space="0" w:color="000000"/>
              <w:start w:val="single" w:sz="12" w:space="0" w:color="000000"/>
              <w:end w:val="single" w:sz="12" w:space="0" w:color="000000"/>
            </w:tcBorders>
            <w:shd w:fill="E6E6E6" w:val="clear"/>
          </w:tcPr>
          <w:p>
            <w:pPr>
              <w:pStyle w:val="Normal"/>
              <w:keepNext w:val="true"/>
              <w:keepLines/>
              <w:widowControl/>
              <w:ind w:end="-18"/>
              <w:jc w:val="center"/>
              <w:rPr>
                <w:sz w:val="20"/>
              </w:rPr>
            </w:pPr>
            <w:r>
              <w:rPr>
                <w:sz w:val="20"/>
              </w:rPr>
              <w:t xml:space="preserve">System-Wide </w:t>
            </w:r>
          </w:p>
        </w:tc>
      </w:tr>
      <w:tr>
        <w:trPr/>
        <w:tc>
          <w:tcPr>
            <w:tcW w:w="1476" w:type="dxa"/>
            <w:tcBorders>
              <w:top w:val="single" w:sz="12" w:space="0" w:color="000000"/>
              <w:start w:val="single" w:sz="12" w:space="0" w:color="000000"/>
              <w:bottom w:val="single" w:sz="12" w:space="0" w:color="000000"/>
            </w:tcBorders>
          </w:tcPr>
          <w:p>
            <w:pPr>
              <w:pStyle w:val="Normal"/>
              <w:keepNext w:val="true"/>
              <w:keepLines/>
              <w:widowControl/>
              <w:spacing w:before="120" w:after="0"/>
              <w:jc w:val="center"/>
              <w:rPr>
                <w:sz w:val="22"/>
              </w:rPr>
            </w:pPr>
            <w:r>
              <w:rPr>
                <w:sz w:val="22"/>
              </w:rPr>
              <w:t>Quarter</w:t>
            </w:r>
          </w:p>
        </w:tc>
        <w:tc>
          <w:tcPr>
            <w:tcW w:w="1035"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widowControl/>
              <w:jc w:val="center"/>
              <w:rPr>
                <w:sz w:val="20"/>
              </w:rPr>
            </w:pPr>
            <w:r>
              <w:rPr>
                <w:sz w:val="20"/>
              </w:rPr>
              <w:t xml:space="preserve">System Wide </w:t>
            </w:r>
          </w:p>
        </w:tc>
        <w:tc>
          <w:tcPr>
            <w:tcW w:w="1035"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widowControl/>
              <w:jc w:val="center"/>
              <w:rPr>
                <w:sz w:val="20"/>
              </w:rPr>
            </w:pPr>
            <w:r>
              <w:rPr>
                <w:sz w:val="20"/>
              </w:rPr>
              <w:t>Customer Specific</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jc w:val="center"/>
              <w:rPr>
                <w:sz w:val="20"/>
              </w:rPr>
            </w:pPr>
            <w:r>
              <w:rPr>
                <w:sz w:val="20"/>
              </w:rPr>
              <w:br/>
              <w:t>Total</w:t>
            </w:r>
          </w:p>
        </w:tc>
        <w:tc>
          <w:tcPr>
            <w:tcW w:w="1035" w:type="dxa"/>
            <w:tcBorders>
              <w:top w:val="single" w:sz="12" w:space="0" w:color="000000"/>
              <w:bottom w:val="single" w:sz="12" w:space="0" w:color="000000"/>
              <w:end w:val="single" w:sz="6" w:space="0" w:color="000000"/>
            </w:tcBorders>
            <w:shd w:fill="E6E6E6" w:val="clear"/>
          </w:tcPr>
          <w:p>
            <w:pPr>
              <w:pStyle w:val="Normal"/>
              <w:keepNext w:val="true"/>
              <w:keepLines/>
              <w:widowControl/>
              <w:jc w:val="center"/>
              <w:rPr>
                <w:sz w:val="20"/>
              </w:rPr>
            </w:pPr>
            <w:r>
              <w:rPr>
                <w:sz w:val="20"/>
              </w:rPr>
              <w:t>System Wide</w:t>
            </w:r>
          </w:p>
        </w:tc>
        <w:tc>
          <w:tcPr>
            <w:tcW w:w="1035"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widowControl/>
              <w:jc w:val="center"/>
              <w:rPr>
                <w:sz w:val="20"/>
              </w:rPr>
            </w:pPr>
            <w:r>
              <w:rPr>
                <w:sz w:val="20"/>
              </w:rPr>
              <w:t>Customer Specific</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jc w:val="center"/>
              <w:rPr>
                <w:sz w:val="20"/>
              </w:rPr>
            </w:pPr>
            <w:r>
              <w:rPr>
                <w:sz w:val="20"/>
              </w:rPr>
              <w:br/>
              <w:t>Total</w:t>
            </w:r>
          </w:p>
        </w:tc>
        <w:tc>
          <w:tcPr>
            <w:tcW w:w="1080" w:type="dxa"/>
            <w:tcBorders>
              <w:start w:val="single" w:sz="12" w:space="0" w:color="000000"/>
              <w:bottom w:val="single" w:sz="12" w:space="0" w:color="000000"/>
              <w:end w:val="single" w:sz="12" w:space="0" w:color="000000"/>
            </w:tcBorders>
            <w:shd w:fill="E6E6E6" w:val="clear"/>
          </w:tcPr>
          <w:p>
            <w:pPr>
              <w:pStyle w:val="Normal"/>
              <w:keepNext w:val="true"/>
              <w:keepLines/>
              <w:widowControl/>
              <w:jc w:val="center"/>
              <w:rPr>
                <w:sz w:val="20"/>
              </w:rPr>
            </w:pPr>
            <w:r>
              <w:rPr>
                <w:sz w:val="20"/>
              </w:rPr>
              <w:t>OFO Reduction</w:t>
            </w:r>
          </w:p>
        </w:tc>
      </w:tr>
      <w:tr>
        <w:trPr/>
        <w:tc>
          <w:tcPr>
            <w:tcW w:w="1476" w:type="dxa"/>
            <w:tcBorders>
              <w:start w:val="single" w:sz="12" w:space="0" w:color="000000"/>
              <w:bottom w:val="single" w:sz="6" w:space="0" w:color="000000"/>
            </w:tcBorders>
          </w:tcPr>
          <w:p>
            <w:pPr>
              <w:pStyle w:val="Normal"/>
              <w:keepNext w:val="true"/>
              <w:keepLines/>
              <w:widowControl/>
              <w:spacing w:before="40" w:after="40"/>
              <w:jc w:val="center"/>
              <w:rPr>
                <w:sz w:val="22"/>
              </w:rPr>
            </w:pPr>
            <w:r>
              <w:rPr>
                <w:sz w:val="22"/>
              </w:rPr>
              <w:t>April – June</w:t>
            </w:r>
          </w:p>
        </w:tc>
        <w:tc>
          <w:tcPr>
            <w:tcW w:w="1035" w:type="dxa"/>
            <w:tcBorders>
              <w:top w:val="single" w:sz="12" w:space="0" w:color="000000"/>
              <w:start w:val="single" w:sz="12"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12</w:t>
            </w:r>
          </w:p>
        </w:tc>
        <w:tc>
          <w:tcPr>
            <w:tcW w:w="1035" w:type="dxa"/>
            <w:tcBorders>
              <w:top w:val="single" w:sz="12" w:space="0" w:color="000000"/>
              <w:start w:val="single" w:sz="6"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2</w:t>
            </w:r>
          </w:p>
        </w:tc>
        <w:tc>
          <w:tcPr>
            <w:tcW w:w="1035" w:type="dxa"/>
            <w:tcBorders>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14</w:t>
            </w:r>
          </w:p>
        </w:tc>
        <w:tc>
          <w:tcPr>
            <w:tcW w:w="1035" w:type="dxa"/>
            <w:tcBorders>
              <w:top w:val="single" w:sz="12"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4</w:t>
            </w:r>
          </w:p>
        </w:tc>
        <w:tc>
          <w:tcPr>
            <w:tcW w:w="1035" w:type="dxa"/>
            <w:tcBorders>
              <w:top w:val="single" w:sz="12" w:space="0" w:color="000000"/>
              <w:start w:val="single" w:sz="6"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7</w:t>
            </w:r>
          </w:p>
        </w:tc>
        <w:tc>
          <w:tcPr>
            <w:tcW w:w="1035" w:type="dxa"/>
            <w:tcBorders>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11</w:t>
            </w:r>
          </w:p>
        </w:tc>
        <w:tc>
          <w:tcPr>
            <w:tcW w:w="1080" w:type="dxa"/>
            <w:tcBorders>
              <w:bottom w:val="single" w:sz="6" w:space="0" w:color="000000"/>
              <w:end w:val="single" w:sz="12" w:space="0" w:color="000000"/>
            </w:tcBorders>
            <w:shd w:fill="E6E6E6" w:val="clear"/>
          </w:tcPr>
          <w:p>
            <w:pPr>
              <w:pStyle w:val="Normal"/>
              <w:keepNext w:val="true"/>
              <w:keepLines/>
              <w:widowControl/>
              <w:spacing w:before="40" w:after="40"/>
              <w:jc w:val="center"/>
              <w:rPr>
                <w:sz w:val="22"/>
              </w:rPr>
            </w:pPr>
            <w:r>
              <w:rPr>
                <w:sz w:val="22"/>
              </w:rPr>
              <w:t>67%</w:t>
            </w:r>
          </w:p>
        </w:tc>
      </w:tr>
      <w:tr>
        <w:trPr/>
        <w:tc>
          <w:tcPr>
            <w:tcW w:w="1476" w:type="dxa"/>
            <w:tcBorders>
              <w:top w:val="single" w:sz="6" w:space="0" w:color="000000"/>
              <w:start w:val="single" w:sz="12" w:space="0" w:color="000000"/>
              <w:bottom w:val="single" w:sz="6" w:space="0" w:color="000000"/>
            </w:tcBorders>
          </w:tcPr>
          <w:p>
            <w:pPr>
              <w:pStyle w:val="Normal"/>
              <w:keepNext w:val="true"/>
              <w:keepLines/>
              <w:widowControl/>
              <w:spacing w:before="40" w:after="40"/>
              <w:jc w:val="center"/>
              <w:rPr>
                <w:sz w:val="22"/>
              </w:rPr>
            </w:pPr>
            <w:r>
              <w:rPr>
                <w:sz w:val="22"/>
              </w:rPr>
              <w:t>July – Sept</w:t>
            </w:r>
          </w:p>
        </w:tc>
        <w:tc>
          <w:tcPr>
            <w:tcW w:w="1035" w:type="dxa"/>
            <w:tcBorders>
              <w:top w:val="single" w:sz="6" w:space="0" w:color="000000"/>
              <w:start w:val="single" w:sz="12"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18</w:t>
            </w:r>
          </w:p>
        </w:tc>
        <w:tc>
          <w:tcPr>
            <w:tcW w:w="1035" w:type="dxa"/>
            <w:tcBorders>
              <w:top w:val="single" w:sz="6" w:space="0" w:color="000000"/>
              <w:start w:val="single" w:sz="6"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0</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18</w:t>
            </w:r>
          </w:p>
        </w:tc>
        <w:tc>
          <w:tcPr>
            <w:tcW w:w="1035" w:type="dxa"/>
            <w:tcBorders>
              <w:top w:val="single" w:sz="6"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7</w:t>
            </w:r>
          </w:p>
        </w:tc>
        <w:tc>
          <w:tcPr>
            <w:tcW w:w="1035" w:type="dxa"/>
            <w:tcBorders>
              <w:top w:val="single" w:sz="6" w:space="0" w:color="000000"/>
              <w:start w:val="single" w:sz="6"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5</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12</w:t>
            </w:r>
          </w:p>
        </w:tc>
        <w:tc>
          <w:tcPr>
            <w:tcW w:w="1080" w:type="dxa"/>
            <w:tcBorders>
              <w:top w:val="single" w:sz="6" w:space="0" w:color="000000"/>
              <w:bottom w:val="single" w:sz="6" w:space="0" w:color="000000"/>
              <w:end w:val="single" w:sz="12" w:space="0" w:color="000000"/>
            </w:tcBorders>
            <w:shd w:fill="E6E6E6" w:val="clear"/>
          </w:tcPr>
          <w:p>
            <w:pPr>
              <w:pStyle w:val="Normal"/>
              <w:keepNext w:val="true"/>
              <w:keepLines/>
              <w:widowControl/>
              <w:spacing w:before="40" w:after="40"/>
              <w:jc w:val="center"/>
              <w:rPr>
                <w:sz w:val="22"/>
              </w:rPr>
            </w:pPr>
            <w:r>
              <w:rPr>
                <w:sz w:val="22"/>
              </w:rPr>
              <w:t>61%</w:t>
            </w:r>
          </w:p>
        </w:tc>
      </w:tr>
      <w:tr>
        <w:trPr/>
        <w:tc>
          <w:tcPr>
            <w:tcW w:w="1476" w:type="dxa"/>
            <w:tcBorders>
              <w:top w:val="single" w:sz="6" w:space="0" w:color="000000"/>
              <w:start w:val="single" w:sz="12" w:space="0" w:color="000000"/>
            </w:tcBorders>
          </w:tcPr>
          <w:p>
            <w:pPr>
              <w:pStyle w:val="Normal"/>
              <w:keepNext w:val="true"/>
              <w:keepLines/>
              <w:widowControl/>
              <w:spacing w:before="40" w:after="40"/>
              <w:jc w:val="center"/>
              <w:rPr>
                <w:sz w:val="22"/>
              </w:rPr>
            </w:pPr>
            <w:r>
              <w:rPr>
                <w:sz w:val="22"/>
              </w:rPr>
              <w:t>Oct. – Dec.</w:t>
            </w:r>
          </w:p>
        </w:tc>
        <w:tc>
          <w:tcPr>
            <w:tcW w:w="1035" w:type="dxa"/>
            <w:tcBorders>
              <w:top w:val="single" w:sz="6" w:space="0" w:color="000000"/>
              <w:start w:val="single" w:sz="12" w:space="0" w:color="000000"/>
              <w:end w:val="single" w:sz="6" w:space="0" w:color="000000"/>
            </w:tcBorders>
            <w:shd w:fill="E6E6E6" w:val="clear"/>
          </w:tcPr>
          <w:p>
            <w:pPr>
              <w:pStyle w:val="Normal"/>
              <w:keepNext w:val="true"/>
              <w:keepLines/>
              <w:widowControl/>
              <w:spacing w:before="40" w:after="40"/>
              <w:jc w:val="center"/>
              <w:rPr>
                <w:sz w:val="22"/>
              </w:rPr>
            </w:pPr>
            <w:r>
              <w:rPr>
                <w:sz w:val="22"/>
              </w:rPr>
              <w:t>9</w:t>
            </w:r>
          </w:p>
        </w:tc>
        <w:tc>
          <w:tcPr>
            <w:tcW w:w="1035" w:type="dxa"/>
            <w:tcBorders>
              <w:top w:val="single" w:sz="6" w:space="0" w:color="000000"/>
              <w:start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0</w:t>
            </w:r>
          </w:p>
        </w:tc>
        <w:tc>
          <w:tcPr>
            <w:tcW w:w="1035" w:type="dxa"/>
            <w:tcBorders>
              <w:top w:val="single" w:sz="6" w:space="0" w:color="000000"/>
              <w:start w:val="single" w:sz="6" w:space="0" w:color="000000"/>
              <w:end w:val="single" w:sz="12" w:space="0" w:color="000000"/>
            </w:tcBorders>
          </w:tcPr>
          <w:p>
            <w:pPr>
              <w:pStyle w:val="Normal"/>
              <w:keepNext w:val="true"/>
              <w:keepLines/>
              <w:widowControl/>
              <w:spacing w:before="40" w:after="40"/>
              <w:jc w:val="center"/>
              <w:rPr>
                <w:sz w:val="22"/>
              </w:rPr>
            </w:pPr>
            <w:r>
              <w:rPr>
                <w:sz w:val="22"/>
              </w:rPr>
              <w:t>9</w:t>
            </w:r>
          </w:p>
        </w:tc>
        <w:tc>
          <w:tcPr>
            <w:tcW w:w="1035" w:type="dxa"/>
            <w:tcBorders>
              <w:top w:val="single" w:sz="6"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3</w:t>
            </w:r>
          </w:p>
        </w:tc>
        <w:tc>
          <w:tcPr>
            <w:tcW w:w="1035" w:type="dxa"/>
            <w:tcBorders>
              <w:top w:val="single" w:sz="6" w:space="0" w:color="000000"/>
              <w:start w:val="single" w:sz="6" w:space="0" w:color="000000"/>
              <w:bottom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8</w:t>
            </w:r>
          </w:p>
        </w:tc>
        <w:tc>
          <w:tcPr>
            <w:tcW w:w="1035" w:type="dxa"/>
            <w:tcBorders>
              <w:top w:val="single" w:sz="6" w:space="0" w:color="000000"/>
              <w:start w:val="single" w:sz="6" w:space="0" w:color="000000"/>
              <w:bottom w:val="single" w:sz="6" w:space="0" w:color="000000"/>
              <w:end w:val="single" w:sz="12" w:space="0" w:color="000000"/>
            </w:tcBorders>
          </w:tcPr>
          <w:p>
            <w:pPr>
              <w:pStyle w:val="Normal"/>
              <w:keepNext w:val="true"/>
              <w:keepLines/>
              <w:widowControl/>
              <w:spacing w:before="40" w:after="40"/>
              <w:jc w:val="center"/>
              <w:rPr>
                <w:sz w:val="22"/>
              </w:rPr>
            </w:pPr>
            <w:r>
              <w:rPr>
                <w:sz w:val="22"/>
              </w:rPr>
              <w:t>11</w:t>
            </w:r>
          </w:p>
        </w:tc>
        <w:tc>
          <w:tcPr>
            <w:tcW w:w="1080" w:type="dxa"/>
            <w:tcBorders>
              <w:top w:val="single" w:sz="6" w:space="0" w:color="000000"/>
              <w:end w:val="single" w:sz="12" w:space="0" w:color="000000"/>
            </w:tcBorders>
            <w:shd w:fill="E6E6E6" w:val="clear"/>
          </w:tcPr>
          <w:p>
            <w:pPr>
              <w:pStyle w:val="Normal"/>
              <w:keepNext w:val="true"/>
              <w:keepLines/>
              <w:widowControl/>
              <w:spacing w:before="40" w:after="40"/>
              <w:jc w:val="center"/>
              <w:rPr>
                <w:sz w:val="22"/>
              </w:rPr>
            </w:pPr>
            <w:r>
              <w:rPr>
                <w:sz w:val="22"/>
              </w:rPr>
              <w:t>67%</w:t>
            </w:r>
          </w:p>
        </w:tc>
      </w:tr>
      <w:tr>
        <w:trPr/>
        <w:tc>
          <w:tcPr>
            <w:tcW w:w="1476" w:type="dxa"/>
            <w:tcBorders>
              <w:top w:val="single" w:sz="6" w:space="0" w:color="000000"/>
              <w:start w:val="single" w:sz="12" w:space="0" w:color="000000"/>
            </w:tcBorders>
          </w:tcPr>
          <w:p>
            <w:pPr>
              <w:pStyle w:val="Normal"/>
              <w:keepNext w:val="true"/>
              <w:keepLines/>
              <w:widowControl/>
              <w:spacing w:before="40" w:after="40"/>
              <w:jc w:val="center"/>
              <w:rPr>
                <w:sz w:val="22"/>
              </w:rPr>
            </w:pPr>
            <w:r>
              <w:rPr>
                <w:sz w:val="22"/>
              </w:rPr>
              <w:t>Jan. – March</w:t>
            </w:r>
          </w:p>
        </w:tc>
        <w:tc>
          <w:tcPr>
            <w:tcW w:w="1035" w:type="dxa"/>
            <w:tcBorders>
              <w:top w:val="single" w:sz="6" w:space="0" w:color="000000"/>
              <w:start w:val="single" w:sz="12" w:space="0" w:color="000000"/>
              <w:end w:val="single" w:sz="6" w:space="0" w:color="000000"/>
            </w:tcBorders>
            <w:shd w:fill="E6E6E6" w:val="clear"/>
          </w:tcPr>
          <w:p>
            <w:pPr>
              <w:pStyle w:val="Normal"/>
              <w:keepNext w:val="true"/>
              <w:keepLines/>
              <w:widowControl/>
              <w:spacing w:before="40" w:after="40"/>
              <w:jc w:val="center"/>
              <w:rPr>
                <w:sz w:val="22"/>
              </w:rPr>
            </w:pPr>
            <w:r>
              <w:rPr>
                <w:sz w:val="22"/>
              </w:rPr>
              <w:t>10</w:t>
            </w:r>
          </w:p>
        </w:tc>
        <w:tc>
          <w:tcPr>
            <w:tcW w:w="1035" w:type="dxa"/>
            <w:tcBorders>
              <w:top w:val="single" w:sz="6" w:space="0" w:color="000000"/>
              <w:start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0</w:t>
            </w:r>
          </w:p>
        </w:tc>
        <w:tc>
          <w:tcPr>
            <w:tcW w:w="1035" w:type="dxa"/>
            <w:tcBorders>
              <w:top w:val="single" w:sz="6" w:space="0" w:color="000000"/>
              <w:start w:val="single" w:sz="6" w:space="0" w:color="000000"/>
              <w:end w:val="single" w:sz="12" w:space="0" w:color="000000"/>
            </w:tcBorders>
          </w:tcPr>
          <w:p>
            <w:pPr>
              <w:pStyle w:val="Normal"/>
              <w:keepNext w:val="true"/>
              <w:keepLines/>
              <w:widowControl/>
              <w:spacing w:before="40" w:after="40"/>
              <w:jc w:val="center"/>
              <w:rPr>
                <w:sz w:val="22"/>
              </w:rPr>
            </w:pPr>
            <w:r>
              <w:rPr>
                <w:sz w:val="22"/>
              </w:rPr>
              <w:t>10</w:t>
            </w:r>
          </w:p>
        </w:tc>
        <w:tc>
          <w:tcPr>
            <w:tcW w:w="1035" w:type="dxa"/>
            <w:tcBorders>
              <w:top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4</w:t>
            </w:r>
          </w:p>
        </w:tc>
        <w:tc>
          <w:tcPr>
            <w:tcW w:w="1035" w:type="dxa"/>
            <w:tcBorders>
              <w:top w:val="single" w:sz="6" w:space="0" w:color="000000"/>
              <w:start w:val="single" w:sz="6" w:space="0" w:color="000000"/>
              <w:end w:val="single" w:sz="6" w:space="0" w:color="000000"/>
            </w:tcBorders>
            <w:shd w:fill="E6E6E6" w:val="clear"/>
          </w:tcPr>
          <w:p>
            <w:pPr>
              <w:pStyle w:val="Normal"/>
              <w:keepNext w:val="true"/>
              <w:keepLines/>
              <w:widowControl/>
              <w:spacing w:before="40" w:after="40"/>
              <w:jc w:val="center"/>
              <w:rPr>
                <w:sz w:val="22"/>
              </w:rPr>
            </w:pPr>
            <w:r>
              <w:rPr>
                <w:sz w:val="22"/>
              </w:rPr>
              <w:t>3</w:t>
            </w:r>
          </w:p>
        </w:tc>
        <w:tc>
          <w:tcPr>
            <w:tcW w:w="1035" w:type="dxa"/>
            <w:tcBorders>
              <w:top w:val="single" w:sz="6" w:space="0" w:color="000000"/>
              <w:start w:val="single" w:sz="6" w:space="0" w:color="000000"/>
              <w:end w:val="single" w:sz="12" w:space="0" w:color="000000"/>
            </w:tcBorders>
          </w:tcPr>
          <w:p>
            <w:pPr>
              <w:pStyle w:val="Normal"/>
              <w:keepNext w:val="true"/>
              <w:keepLines/>
              <w:widowControl/>
              <w:spacing w:before="40" w:after="40"/>
              <w:jc w:val="center"/>
              <w:rPr>
                <w:sz w:val="22"/>
              </w:rPr>
            </w:pPr>
            <w:r>
              <w:rPr>
                <w:sz w:val="22"/>
              </w:rPr>
              <w:t>7</w:t>
            </w:r>
          </w:p>
        </w:tc>
        <w:tc>
          <w:tcPr>
            <w:tcW w:w="1080" w:type="dxa"/>
            <w:tcBorders>
              <w:top w:val="single" w:sz="6" w:space="0" w:color="000000"/>
              <w:end w:val="single" w:sz="12" w:space="0" w:color="000000"/>
            </w:tcBorders>
            <w:shd w:fill="E6E6E6" w:val="clear"/>
          </w:tcPr>
          <w:p>
            <w:pPr>
              <w:pStyle w:val="Normal"/>
              <w:keepNext w:val="true"/>
              <w:keepLines/>
              <w:widowControl/>
              <w:spacing w:before="40" w:after="40"/>
              <w:jc w:val="center"/>
              <w:rPr>
                <w:sz w:val="22"/>
              </w:rPr>
            </w:pPr>
            <w:r>
              <w:rPr>
                <w:sz w:val="22"/>
              </w:rPr>
              <w:t>60%</w:t>
            </w:r>
          </w:p>
        </w:tc>
      </w:tr>
      <w:tr>
        <w:trPr/>
        <w:tc>
          <w:tcPr>
            <w:tcW w:w="1476" w:type="dxa"/>
            <w:tcBorders>
              <w:top w:val="single" w:sz="12" w:space="0" w:color="000000"/>
              <w:start w:val="single" w:sz="12" w:space="0" w:color="000000"/>
              <w:bottom w:val="single" w:sz="12" w:space="0" w:color="000000"/>
            </w:tcBorders>
          </w:tcPr>
          <w:p>
            <w:pPr>
              <w:pStyle w:val="Normal"/>
              <w:keepNext w:val="true"/>
              <w:keepLines/>
              <w:widowControl/>
              <w:spacing w:before="40" w:after="40"/>
              <w:jc w:val="center"/>
              <w:rPr>
                <w:sz w:val="22"/>
              </w:rPr>
            </w:pPr>
            <w:r>
              <w:rPr>
                <w:sz w:val="22"/>
              </w:rPr>
              <w:t>Total</w:t>
            </w:r>
          </w:p>
        </w:tc>
        <w:tc>
          <w:tcPr>
            <w:tcW w:w="1035" w:type="dxa"/>
            <w:tcBorders>
              <w:top w:val="single" w:sz="12" w:space="0" w:color="000000"/>
              <w:start w:val="single" w:sz="12" w:space="0" w:color="000000"/>
              <w:bottom w:val="single" w:sz="12" w:space="0" w:color="000000"/>
              <w:end w:val="single" w:sz="6" w:space="0" w:color="000000"/>
            </w:tcBorders>
            <w:shd w:fill="E6E6E6" w:val="clear"/>
          </w:tcPr>
          <w:p>
            <w:pPr>
              <w:pStyle w:val="Normal"/>
              <w:keepNext w:val="true"/>
              <w:keepLines/>
              <w:widowControl/>
              <w:spacing w:before="40" w:after="40"/>
              <w:jc w:val="center"/>
              <w:rPr>
                <w:sz w:val="22"/>
              </w:rPr>
            </w:pPr>
            <w:r>
              <w:rPr>
                <w:sz w:val="22"/>
              </w:rPr>
              <w:t>49</w:t>
            </w:r>
          </w:p>
        </w:tc>
        <w:tc>
          <w:tcPr>
            <w:tcW w:w="1035"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widowControl/>
              <w:spacing w:before="40" w:after="40"/>
              <w:jc w:val="center"/>
              <w:rPr>
                <w:sz w:val="22"/>
              </w:rPr>
            </w:pPr>
            <w:r>
              <w:rPr>
                <w:sz w:val="22"/>
              </w:rPr>
              <w:t>2</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spacing w:before="40" w:after="40"/>
              <w:jc w:val="center"/>
              <w:rPr>
                <w:sz w:val="22"/>
              </w:rPr>
            </w:pPr>
            <w:r>
              <w:rPr>
                <w:sz w:val="22"/>
              </w:rPr>
              <w:t>51</w:t>
            </w:r>
          </w:p>
        </w:tc>
        <w:tc>
          <w:tcPr>
            <w:tcW w:w="1035" w:type="dxa"/>
            <w:tcBorders>
              <w:top w:val="single" w:sz="12" w:space="0" w:color="000000"/>
              <w:bottom w:val="single" w:sz="12" w:space="0" w:color="000000"/>
              <w:end w:val="single" w:sz="6" w:space="0" w:color="000000"/>
            </w:tcBorders>
            <w:shd w:fill="E6E6E6" w:val="clear"/>
          </w:tcPr>
          <w:p>
            <w:pPr>
              <w:pStyle w:val="Normal"/>
              <w:keepNext w:val="true"/>
              <w:keepLines/>
              <w:widowControl/>
              <w:spacing w:before="40" w:after="40"/>
              <w:jc w:val="center"/>
              <w:rPr>
                <w:sz w:val="22"/>
              </w:rPr>
            </w:pPr>
            <w:r>
              <w:rPr>
                <w:sz w:val="22"/>
              </w:rPr>
              <w:t>18</w:t>
            </w:r>
          </w:p>
        </w:tc>
        <w:tc>
          <w:tcPr>
            <w:tcW w:w="1035" w:type="dxa"/>
            <w:tcBorders>
              <w:top w:val="single" w:sz="12" w:space="0" w:color="000000"/>
              <w:start w:val="single" w:sz="6" w:space="0" w:color="000000"/>
              <w:bottom w:val="single" w:sz="12" w:space="0" w:color="000000"/>
              <w:end w:val="single" w:sz="6" w:space="0" w:color="000000"/>
            </w:tcBorders>
            <w:shd w:fill="E6E6E6" w:val="clear"/>
          </w:tcPr>
          <w:p>
            <w:pPr>
              <w:pStyle w:val="Normal"/>
              <w:keepNext w:val="true"/>
              <w:keepLines/>
              <w:widowControl/>
              <w:spacing w:before="40" w:after="40"/>
              <w:jc w:val="center"/>
              <w:rPr>
                <w:sz w:val="22"/>
              </w:rPr>
            </w:pPr>
            <w:r>
              <w:rPr>
                <w:sz w:val="22"/>
              </w:rPr>
              <w:t>23</w:t>
            </w:r>
          </w:p>
        </w:tc>
        <w:tc>
          <w:tcPr>
            <w:tcW w:w="1035" w:type="dxa"/>
            <w:tcBorders>
              <w:top w:val="single" w:sz="12" w:space="0" w:color="000000"/>
              <w:start w:val="single" w:sz="6" w:space="0" w:color="000000"/>
              <w:bottom w:val="single" w:sz="12" w:space="0" w:color="000000"/>
              <w:end w:val="single" w:sz="12" w:space="0" w:color="000000"/>
            </w:tcBorders>
          </w:tcPr>
          <w:p>
            <w:pPr>
              <w:pStyle w:val="Normal"/>
              <w:keepNext w:val="true"/>
              <w:keepLines/>
              <w:widowControl/>
              <w:spacing w:before="40" w:after="40"/>
              <w:jc w:val="center"/>
              <w:rPr>
                <w:sz w:val="22"/>
              </w:rPr>
            </w:pPr>
            <w:r>
              <w:rPr>
                <w:sz w:val="22"/>
              </w:rPr>
              <w:t>41</w:t>
            </w:r>
          </w:p>
        </w:tc>
        <w:tc>
          <w:tcPr>
            <w:tcW w:w="1080" w:type="dxa"/>
            <w:tcBorders>
              <w:top w:val="single" w:sz="12" w:space="0" w:color="000000"/>
              <w:bottom w:val="single" w:sz="12" w:space="0" w:color="000000"/>
              <w:end w:val="single" w:sz="12" w:space="0" w:color="000000"/>
            </w:tcBorders>
            <w:shd w:fill="E6E6E6" w:val="clear"/>
          </w:tcPr>
          <w:p>
            <w:pPr>
              <w:pStyle w:val="Normal"/>
              <w:keepNext w:val="true"/>
              <w:keepLines/>
              <w:widowControl/>
              <w:spacing w:before="40" w:after="40"/>
              <w:jc w:val="center"/>
              <w:rPr>
                <w:sz w:val="22"/>
              </w:rPr>
            </w:pPr>
            <w:r>
              <w:rPr>
                <w:sz w:val="22"/>
              </w:rPr>
              <w:t>63%</w:t>
            </w:r>
          </w:p>
        </w:tc>
      </w:tr>
    </w:tbl>
    <w:p>
      <w:pPr>
        <w:pStyle w:val="Heading2"/>
        <w:widowControl/>
        <w:spacing w:before="300" w:after="0"/>
        <w:rPr/>
      </w:pPr>
      <w:bookmarkStart w:id="11" w:name="__RefHeading___Toc513004248"/>
      <w:bookmarkEnd w:id="11"/>
      <w:r>
        <w:rPr/>
        <w:t>C.</w:t>
        <w:tab/>
        <w:t>Distribution of OFOs</w:t>
      </w:r>
    </w:p>
    <w:p>
      <w:pPr>
        <w:pStyle w:val="BodyText2"/>
        <w:widowControl/>
        <w:rPr/>
      </w:pPr>
      <w:r>
        <w:rPr/>
        <w:t xml:space="preserve">Table 4 shows the distribution of OFO events by month during the quarter.  </w:t>
      </w:r>
    </w:p>
    <w:p>
      <w:pPr>
        <w:pStyle w:val="TableHeading1"/>
        <w:widowControl/>
        <w:rPr/>
      </w:pPr>
      <w:bookmarkStart w:id="12" w:name="__RefHeading___Toc504897734"/>
      <w:bookmarkEnd w:id="12"/>
      <w:r>
        <w:rPr/>
        <w:t>Table 4:   Distribution of OFOs by Month</w:t>
      </w:r>
    </w:p>
    <w:tbl>
      <w:tblPr>
        <w:tblW w:w="7020" w:type="dxa"/>
        <w:jc w:val="start"/>
        <w:tblInd w:w="1098" w:type="dxa"/>
        <w:tblLayout w:type="fixed"/>
        <w:tblCellMar>
          <w:top w:w="0" w:type="dxa"/>
          <w:start w:w="108" w:type="dxa"/>
          <w:bottom w:w="0" w:type="dxa"/>
          <w:end w:w="108" w:type="dxa"/>
        </w:tblCellMar>
      </w:tblPr>
      <w:tblGrid>
        <w:gridCol w:w="1518"/>
        <w:gridCol w:w="732"/>
        <w:gridCol w:w="720"/>
        <w:gridCol w:w="810"/>
        <w:gridCol w:w="720"/>
        <w:gridCol w:w="810"/>
        <w:gridCol w:w="810"/>
        <w:gridCol w:w="900"/>
      </w:tblGrid>
      <w:tr>
        <w:trPr/>
        <w:tc>
          <w:tcPr>
            <w:tcW w:w="1518" w:type="dxa"/>
            <w:tcBorders>
              <w:end w:val="single" w:sz="12" w:space="0" w:color="000000"/>
            </w:tcBorders>
          </w:tcPr>
          <w:p>
            <w:pPr>
              <w:pStyle w:val="BodyText2"/>
              <w:widowControl/>
              <w:snapToGrid w:val="false"/>
              <w:spacing w:before="20" w:after="20"/>
              <w:ind w:start="0" w:end="0"/>
              <w:rPr/>
            </w:pPr>
            <w:r>
              <w:rPr/>
            </w:r>
          </w:p>
        </w:tc>
        <w:tc>
          <w:tcPr>
            <w:tcW w:w="2262" w:type="dxa"/>
            <w:gridSpan w:val="3"/>
            <w:tcBorders>
              <w:top w:val="single" w:sz="12" w:space="0" w:color="000000"/>
              <w:bottom w:val="single" w:sz="12" w:space="0" w:color="000000"/>
              <w:end w:val="single" w:sz="12" w:space="0" w:color="000000"/>
            </w:tcBorders>
          </w:tcPr>
          <w:p>
            <w:pPr>
              <w:pStyle w:val="BodyText2"/>
              <w:widowControl/>
              <w:spacing w:before="20" w:after="20"/>
              <w:ind w:start="0" w:end="0"/>
              <w:jc w:val="center"/>
              <w:rPr/>
            </w:pPr>
            <w:r>
              <w:rPr/>
              <w:t>System-Wide</w:t>
            </w:r>
          </w:p>
        </w:tc>
        <w:tc>
          <w:tcPr>
            <w:tcW w:w="2340" w:type="dxa"/>
            <w:gridSpan w:val="3"/>
            <w:tcBorders>
              <w:top w:val="single" w:sz="12" w:space="0" w:color="000000"/>
              <w:start w:val="single" w:sz="12" w:space="0" w:color="000000"/>
              <w:bottom w:val="single" w:sz="12" w:space="0" w:color="000000"/>
              <w:end w:val="single" w:sz="6" w:space="0" w:color="000000"/>
            </w:tcBorders>
          </w:tcPr>
          <w:p>
            <w:pPr>
              <w:pStyle w:val="BodyText2"/>
              <w:widowControl/>
              <w:spacing w:before="20" w:after="20"/>
              <w:ind w:start="0" w:end="0"/>
              <w:jc w:val="center"/>
              <w:rPr/>
            </w:pPr>
            <w:r>
              <w:rPr/>
              <w:t>Customer-Specific</w:t>
            </w:r>
          </w:p>
        </w:tc>
        <w:tc>
          <w:tcPr>
            <w:tcW w:w="900" w:type="dxa"/>
            <w:tcBorders>
              <w:top w:val="single" w:sz="12" w:space="0" w:color="000000"/>
              <w:start w:val="single" w:sz="12" w:space="0" w:color="000000"/>
              <w:bottom w:val="single" w:sz="12" w:space="0" w:color="000000"/>
              <w:end w:val="single" w:sz="12" w:space="0" w:color="000000"/>
            </w:tcBorders>
            <w:shd w:fill="F3F3F3" w:val="clear"/>
          </w:tcPr>
          <w:p>
            <w:pPr>
              <w:pStyle w:val="BodyText2"/>
              <w:widowControl/>
              <w:spacing w:before="20" w:after="20"/>
              <w:ind w:start="0" w:end="0"/>
              <w:jc w:val="center"/>
              <w:rPr/>
            </w:pPr>
            <w:r>
              <w:rPr/>
              <w:t>Total</w:t>
            </w:r>
          </w:p>
        </w:tc>
      </w:tr>
      <w:tr>
        <w:trPr/>
        <w:tc>
          <w:tcPr>
            <w:tcW w:w="1518" w:type="dxa"/>
            <w:tcBorders>
              <w:bottom w:val="single" w:sz="12" w:space="0" w:color="000000"/>
              <w:end w:val="single" w:sz="12" w:space="0" w:color="000000"/>
            </w:tcBorders>
          </w:tcPr>
          <w:p>
            <w:pPr>
              <w:pStyle w:val="BodyText2"/>
              <w:widowControl/>
              <w:snapToGrid w:val="false"/>
              <w:spacing w:before="20" w:after="20"/>
              <w:ind w:start="0" w:end="0"/>
              <w:rPr/>
            </w:pPr>
            <w:r>
              <w:rPr/>
            </w:r>
          </w:p>
        </w:tc>
        <w:tc>
          <w:tcPr>
            <w:tcW w:w="732" w:type="dxa"/>
            <w:tcBorders>
              <w:top w:val="single" w:sz="12" w:space="0" w:color="000000"/>
              <w:bottom w:val="single" w:sz="12" w:space="0" w:color="000000"/>
              <w:end w:val="single" w:sz="6" w:space="0" w:color="000000"/>
            </w:tcBorders>
            <w:shd w:fill="F3F3F3" w:val="clear"/>
          </w:tcPr>
          <w:p>
            <w:pPr>
              <w:pStyle w:val="BodyText2"/>
              <w:widowControl/>
              <w:spacing w:before="20" w:after="20"/>
              <w:ind w:start="0" w:end="0"/>
              <w:jc w:val="center"/>
              <w:rPr/>
            </w:pPr>
            <w:r>
              <w:rPr/>
              <w:t>High</w:t>
            </w:r>
          </w:p>
        </w:tc>
        <w:tc>
          <w:tcPr>
            <w:tcW w:w="720" w:type="dxa"/>
            <w:tcBorders>
              <w:top w:val="single" w:sz="12" w:space="0" w:color="000000"/>
              <w:start w:val="single" w:sz="6" w:space="0" w:color="000000"/>
              <w:bottom w:val="single" w:sz="12" w:space="0" w:color="000000"/>
              <w:end w:val="single" w:sz="6" w:space="0" w:color="000000"/>
            </w:tcBorders>
            <w:shd w:fill="F3F3F3" w:val="clear"/>
          </w:tcPr>
          <w:p>
            <w:pPr>
              <w:pStyle w:val="BodyText2"/>
              <w:widowControl/>
              <w:spacing w:before="20" w:after="20"/>
              <w:ind w:start="0" w:end="0"/>
              <w:jc w:val="center"/>
              <w:rPr/>
            </w:pPr>
            <w:r>
              <w:rPr/>
              <w:t>Low</w:t>
            </w:r>
          </w:p>
        </w:tc>
        <w:tc>
          <w:tcPr>
            <w:tcW w:w="810" w:type="dxa"/>
            <w:tcBorders>
              <w:top w:val="single" w:sz="12" w:space="0" w:color="000000"/>
              <w:start w:val="single" w:sz="6" w:space="0" w:color="000000"/>
              <w:bottom w:val="single" w:sz="12" w:space="0" w:color="000000"/>
              <w:end w:val="single" w:sz="12" w:space="0" w:color="000000"/>
            </w:tcBorders>
          </w:tcPr>
          <w:p>
            <w:pPr>
              <w:pStyle w:val="BodyText2"/>
              <w:widowControl/>
              <w:spacing w:before="20" w:after="20"/>
              <w:ind w:start="0" w:end="0"/>
              <w:jc w:val="center"/>
              <w:rPr/>
            </w:pPr>
            <w:r>
              <w:rPr/>
              <w:t>Total</w:t>
            </w:r>
          </w:p>
        </w:tc>
        <w:tc>
          <w:tcPr>
            <w:tcW w:w="720" w:type="dxa"/>
            <w:tcBorders>
              <w:top w:val="single" w:sz="12" w:space="0" w:color="000000"/>
              <w:start w:val="single" w:sz="12" w:space="0" w:color="000000"/>
              <w:bottom w:val="single" w:sz="12" w:space="0" w:color="000000"/>
              <w:end w:val="single" w:sz="6" w:space="0" w:color="000000"/>
            </w:tcBorders>
            <w:shd w:fill="F3F3F3" w:val="clear"/>
          </w:tcPr>
          <w:p>
            <w:pPr>
              <w:pStyle w:val="BodyText2"/>
              <w:widowControl/>
              <w:spacing w:before="20" w:after="20"/>
              <w:ind w:start="0" w:end="0"/>
              <w:jc w:val="center"/>
              <w:rPr/>
            </w:pPr>
            <w:r>
              <w:rPr/>
              <w:t xml:space="preserve">High </w:t>
            </w:r>
          </w:p>
        </w:tc>
        <w:tc>
          <w:tcPr>
            <w:tcW w:w="810" w:type="dxa"/>
            <w:tcBorders>
              <w:top w:val="single" w:sz="12" w:space="0" w:color="000000"/>
              <w:start w:val="single" w:sz="6" w:space="0" w:color="000000"/>
              <w:bottom w:val="single" w:sz="12" w:space="0" w:color="000000"/>
              <w:end w:val="single" w:sz="6" w:space="0" w:color="000000"/>
            </w:tcBorders>
            <w:shd w:fill="F3F3F3" w:val="clear"/>
          </w:tcPr>
          <w:p>
            <w:pPr>
              <w:pStyle w:val="BodyText2"/>
              <w:widowControl/>
              <w:spacing w:before="20" w:after="20"/>
              <w:ind w:start="0" w:end="0"/>
              <w:jc w:val="center"/>
              <w:rPr/>
            </w:pPr>
            <w:r>
              <w:rPr/>
              <w:t>Low</w:t>
            </w:r>
          </w:p>
        </w:tc>
        <w:tc>
          <w:tcPr>
            <w:tcW w:w="810" w:type="dxa"/>
            <w:tcBorders>
              <w:top w:val="single" w:sz="12" w:space="0" w:color="000000"/>
              <w:start w:val="single" w:sz="6" w:space="0" w:color="000000"/>
              <w:bottom w:val="single" w:sz="12" w:space="0" w:color="000000"/>
            </w:tcBorders>
          </w:tcPr>
          <w:p>
            <w:pPr>
              <w:pStyle w:val="BodyText2"/>
              <w:widowControl/>
              <w:spacing w:before="20" w:after="20"/>
              <w:ind w:start="0" w:end="0"/>
              <w:jc w:val="center"/>
              <w:rPr/>
            </w:pPr>
            <w:r>
              <w:rPr/>
              <w:t>Total</w:t>
            </w:r>
          </w:p>
        </w:tc>
        <w:tc>
          <w:tcPr>
            <w:tcW w:w="900" w:type="dxa"/>
            <w:tcBorders>
              <w:top w:val="single" w:sz="12" w:space="0" w:color="000000"/>
              <w:start w:val="single" w:sz="12" w:space="0" w:color="000000"/>
              <w:bottom w:val="single" w:sz="12" w:space="0" w:color="000000"/>
              <w:end w:val="single" w:sz="12" w:space="0" w:color="000000"/>
            </w:tcBorders>
            <w:shd w:fill="F3F3F3" w:val="clear"/>
          </w:tcPr>
          <w:p>
            <w:pPr>
              <w:pStyle w:val="BodyText2"/>
              <w:widowControl/>
              <w:snapToGrid w:val="false"/>
              <w:spacing w:before="20" w:after="20"/>
              <w:ind w:start="0" w:end="0"/>
              <w:jc w:val="center"/>
              <w:rPr/>
            </w:pPr>
            <w:r>
              <w:rPr/>
            </w:r>
          </w:p>
        </w:tc>
      </w:tr>
      <w:tr>
        <w:trPr/>
        <w:tc>
          <w:tcPr>
            <w:tcW w:w="1518" w:type="dxa"/>
            <w:tcBorders>
              <w:top w:val="single" w:sz="12" w:space="0" w:color="000000"/>
              <w:start w:val="single" w:sz="12" w:space="0" w:color="000000"/>
              <w:bottom w:val="single" w:sz="6" w:space="0" w:color="000000"/>
              <w:end w:val="single" w:sz="12" w:space="0" w:color="000000"/>
            </w:tcBorders>
          </w:tcPr>
          <w:p>
            <w:pPr>
              <w:pStyle w:val="BodyText2"/>
              <w:widowControl/>
              <w:spacing w:before="60" w:after="0"/>
              <w:ind w:start="0" w:end="0"/>
              <w:rPr/>
            </w:pPr>
            <w:r>
              <w:rPr/>
              <w:t>January</w:t>
            </w:r>
          </w:p>
        </w:tc>
        <w:tc>
          <w:tcPr>
            <w:tcW w:w="732" w:type="dxa"/>
            <w:tcBorders>
              <w:top w:val="single" w:sz="12" w:space="0" w:color="000000"/>
              <w:bottom w:val="single" w:sz="6" w:space="0" w:color="000000"/>
              <w:end w:val="single" w:sz="6" w:space="0" w:color="000000"/>
            </w:tcBorders>
            <w:shd w:fill="F3F3F3" w:val="clear"/>
          </w:tcPr>
          <w:p>
            <w:pPr>
              <w:pStyle w:val="BodyText2"/>
              <w:widowControl/>
              <w:spacing w:before="60" w:after="0"/>
              <w:ind w:start="0" w:end="0"/>
              <w:jc w:val="center"/>
              <w:rPr/>
            </w:pPr>
            <w:r>
              <w:rPr/>
              <w:t>0</w:t>
            </w:r>
          </w:p>
        </w:tc>
        <w:tc>
          <w:tcPr>
            <w:tcW w:w="720" w:type="dxa"/>
            <w:tcBorders>
              <w:top w:val="single" w:sz="12" w:space="0" w:color="000000"/>
              <w:start w:val="single" w:sz="6" w:space="0" w:color="000000"/>
              <w:bottom w:val="single" w:sz="6" w:space="0" w:color="000000"/>
              <w:end w:val="single" w:sz="6" w:space="0" w:color="000000"/>
            </w:tcBorders>
            <w:shd w:fill="F3F3F3" w:val="clear"/>
          </w:tcPr>
          <w:p>
            <w:pPr>
              <w:pStyle w:val="BodyText2"/>
              <w:widowControl/>
              <w:spacing w:before="60" w:after="0"/>
              <w:ind w:start="0" w:end="0"/>
              <w:jc w:val="center"/>
              <w:rPr/>
            </w:pPr>
            <w:r>
              <w:rPr/>
              <w:t>0</w:t>
            </w:r>
          </w:p>
        </w:tc>
        <w:tc>
          <w:tcPr>
            <w:tcW w:w="810" w:type="dxa"/>
            <w:tcBorders>
              <w:start w:val="single" w:sz="6" w:space="0" w:color="000000"/>
              <w:bottom w:val="single" w:sz="6" w:space="0" w:color="000000"/>
              <w:end w:val="single" w:sz="12" w:space="0" w:color="000000"/>
            </w:tcBorders>
          </w:tcPr>
          <w:p>
            <w:pPr>
              <w:pStyle w:val="BodyText2"/>
              <w:widowControl/>
              <w:spacing w:before="60" w:after="0"/>
              <w:ind w:start="0" w:end="0"/>
              <w:jc w:val="center"/>
              <w:rPr/>
            </w:pPr>
            <w:r>
              <w:rPr/>
              <w:t>0</w:t>
            </w:r>
          </w:p>
        </w:tc>
        <w:tc>
          <w:tcPr>
            <w:tcW w:w="720" w:type="dxa"/>
            <w:tcBorders>
              <w:top w:val="single" w:sz="12" w:space="0" w:color="000000"/>
              <w:start w:val="single" w:sz="12" w:space="0" w:color="000000"/>
              <w:bottom w:val="single" w:sz="6" w:space="0" w:color="000000"/>
              <w:end w:val="single" w:sz="6" w:space="0" w:color="000000"/>
            </w:tcBorders>
            <w:shd w:fill="F3F3F3" w:val="clear"/>
          </w:tcPr>
          <w:p>
            <w:pPr>
              <w:pStyle w:val="BodyText2"/>
              <w:widowControl/>
              <w:snapToGrid w:val="false"/>
              <w:spacing w:before="60" w:after="0"/>
              <w:ind w:start="0" w:end="0"/>
              <w:jc w:val="center"/>
              <w:rPr/>
            </w:pPr>
            <w:r>
              <w:rPr/>
            </w:r>
          </w:p>
        </w:tc>
        <w:tc>
          <w:tcPr>
            <w:tcW w:w="810" w:type="dxa"/>
            <w:tcBorders>
              <w:top w:val="single" w:sz="12" w:space="0" w:color="000000"/>
              <w:start w:val="single" w:sz="6" w:space="0" w:color="000000"/>
              <w:bottom w:val="single" w:sz="6" w:space="0" w:color="000000"/>
              <w:end w:val="single" w:sz="6" w:space="0" w:color="000000"/>
            </w:tcBorders>
            <w:shd w:fill="F3F3F3" w:val="clear"/>
          </w:tcPr>
          <w:p>
            <w:pPr>
              <w:pStyle w:val="BodyText2"/>
              <w:widowControl/>
              <w:spacing w:before="60" w:after="0"/>
              <w:ind w:start="0" w:end="0"/>
              <w:jc w:val="center"/>
              <w:rPr/>
            </w:pPr>
            <w:r>
              <w:rPr/>
              <w:t>0</w:t>
            </w:r>
          </w:p>
        </w:tc>
        <w:tc>
          <w:tcPr>
            <w:tcW w:w="810" w:type="dxa"/>
            <w:tcBorders>
              <w:start w:val="single" w:sz="6" w:space="0" w:color="000000"/>
              <w:bottom w:val="single" w:sz="6" w:space="0" w:color="000000"/>
            </w:tcBorders>
          </w:tcPr>
          <w:p>
            <w:pPr>
              <w:pStyle w:val="BodyText2"/>
              <w:widowControl/>
              <w:spacing w:before="60" w:after="0"/>
              <w:ind w:start="0" w:end="0"/>
              <w:jc w:val="center"/>
              <w:rPr/>
            </w:pPr>
            <w:r>
              <w:rPr/>
              <w:t>0</w:t>
            </w:r>
          </w:p>
        </w:tc>
        <w:tc>
          <w:tcPr>
            <w:tcW w:w="900" w:type="dxa"/>
            <w:tcBorders>
              <w:start w:val="single" w:sz="12" w:space="0" w:color="000000"/>
              <w:bottom w:val="single" w:sz="6" w:space="0" w:color="000000"/>
              <w:end w:val="single" w:sz="12" w:space="0" w:color="000000"/>
            </w:tcBorders>
            <w:shd w:fill="F3F3F3" w:val="clear"/>
          </w:tcPr>
          <w:p>
            <w:pPr>
              <w:pStyle w:val="BodyText2"/>
              <w:widowControl/>
              <w:spacing w:before="60" w:after="0"/>
              <w:ind w:start="0" w:end="0"/>
              <w:jc w:val="center"/>
              <w:rPr/>
            </w:pPr>
            <w:r>
              <w:rPr/>
              <w:t>0</w:t>
            </w:r>
          </w:p>
        </w:tc>
      </w:tr>
      <w:tr>
        <w:trPr/>
        <w:tc>
          <w:tcPr>
            <w:tcW w:w="1518" w:type="dxa"/>
            <w:tcBorders>
              <w:top w:val="single" w:sz="6" w:space="0" w:color="000000"/>
              <w:start w:val="single" w:sz="12" w:space="0" w:color="000000"/>
              <w:end w:val="single" w:sz="12" w:space="0" w:color="000000"/>
            </w:tcBorders>
          </w:tcPr>
          <w:p>
            <w:pPr>
              <w:pStyle w:val="BodyText2"/>
              <w:widowControl/>
              <w:spacing w:before="60" w:after="0"/>
              <w:ind w:start="0" w:end="0"/>
              <w:rPr/>
            </w:pPr>
            <w:r>
              <w:rPr/>
              <w:t>February</w:t>
            </w:r>
          </w:p>
        </w:tc>
        <w:tc>
          <w:tcPr>
            <w:tcW w:w="732" w:type="dxa"/>
            <w:tcBorders>
              <w:top w:val="single" w:sz="6" w:space="0" w:color="000000"/>
              <w:end w:val="single" w:sz="6" w:space="0" w:color="000000"/>
            </w:tcBorders>
            <w:shd w:fill="F3F3F3" w:val="clear"/>
          </w:tcPr>
          <w:p>
            <w:pPr>
              <w:pStyle w:val="BodyText2"/>
              <w:widowControl/>
              <w:spacing w:before="60" w:after="0"/>
              <w:ind w:start="0" w:end="0"/>
              <w:jc w:val="center"/>
              <w:rPr/>
            </w:pPr>
            <w:r>
              <w:rPr/>
              <w:t>1</w:t>
            </w:r>
          </w:p>
        </w:tc>
        <w:tc>
          <w:tcPr>
            <w:tcW w:w="720" w:type="dxa"/>
            <w:tcBorders>
              <w:top w:val="single" w:sz="6" w:space="0" w:color="000000"/>
              <w:start w:val="single" w:sz="6" w:space="0" w:color="000000"/>
              <w:end w:val="single" w:sz="6" w:space="0" w:color="000000"/>
            </w:tcBorders>
            <w:shd w:fill="F3F3F3" w:val="clear"/>
          </w:tcPr>
          <w:p>
            <w:pPr>
              <w:pStyle w:val="BodyText2"/>
              <w:widowControl/>
              <w:spacing w:before="60" w:after="0"/>
              <w:ind w:start="0" w:end="0"/>
              <w:jc w:val="center"/>
              <w:rPr/>
            </w:pPr>
            <w:r>
              <w:rPr/>
              <w:t>1</w:t>
            </w:r>
          </w:p>
        </w:tc>
        <w:tc>
          <w:tcPr>
            <w:tcW w:w="810" w:type="dxa"/>
            <w:tcBorders>
              <w:top w:val="single" w:sz="6" w:space="0" w:color="000000"/>
              <w:start w:val="single" w:sz="6" w:space="0" w:color="000000"/>
              <w:end w:val="single" w:sz="12" w:space="0" w:color="000000"/>
            </w:tcBorders>
          </w:tcPr>
          <w:p>
            <w:pPr>
              <w:pStyle w:val="BodyText2"/>
              <w:widowControl/>
              <w:spacing w:before="60" w:after="0"/>
              <w:ind w:start="0" w:end="0"/>
              <w:jc w:val="center"/>
              <w:rPr/>
            </w:pPr>
            <w:r>
              <w:rPr/>
              <w:t>2</w:t>
            </w:r>
          </w:p>
        </w:tc>
        <w:tc>
          <w:tcPr>
            <w:tcW w:w="720" w:type="dxa"/>
            <w:tcBorders>
              <w:top w:val="single" w:sz="6" w:space="0" w:color="000000"/>
              <w:start w:val="single" w:sz="12" w:space="0" w:color="000000"/>
              <w:end w:val="single" w:sz="6" w:space="0" w:color="000000"/>
            </w:tcBorders>
            <w:shd w:fill="F3F3F3" w:val="clear"/>
          </w:tcPr>
          <w:p>
            <w:pPr>
              <w:pStyle w:val="BodyText2"/>
              <w:widowControl/>
              <w:spacing w:before="60" w:after="0"/>
              <w:ind w:start="0" w:end="0"/>
              <w:jc w:val="center"/>
              <w:rPr/>
            </w:pPr>
            <w:r>
              <w:rPr/>
              <w:t>0</w:t>
            </w:r>
          </w:p>
        </w:tc>
        <w:tc>
          <w:tcPr>
            <w:tcW w:w="810" w:type="dxa"/>
            <w:tcBorders>
              <w:top w:val="single" w:sz="6" w:space="0" w:color="000000"/>
              <w:start w:val="single" w:sz="6" w:space="0" w:color="000000"/>
              <w:end w:val="single" w:sz="6" w:space="0" w:color="000000"/>
            </w:tcBorders>
            <w:shd w:fill="F3F3F3" w:val="clear"/>
          </w:tcPr>
          <w:p>
            <w:pPr>
              <w:pStyle w:val="BodyText2"/>
              <w:widowControl/>
              <w:spacing w:before="60" w:after="0"/>
              <w:ind w:start="0" w:end="0"/>
              <w:jc w:val="center"/>
              <w:rPr/>
            </w:pPr>
            <w:r>
              <w:rPr/>
              <w:t>2</w:t>
            </w:r>
          </w:p>
        </w:tc>
        <w:tc>
          <w:tcPr>
            <w:tcW w:w="810" w:type="dxa"/>
            <w:tcBorders>
              <w:top w:val="single" w:sz="6" w:space="0" w:color="000000"/>
              <w:start w:val="single" w:sz="6" w:space="0" w:color="000000"/>
            </w:tcBorders>
          </w:tcPr>
          <w:p>
            <w:pPr>
              <w:pStyle w:val="BodyText2"/>
              <w:widowControl/>
              <w:spacing w:before="60" w:after="0"/>
              <w:ind w:start="0" w:end="0"/>
              <w:jc w:val="center"/>
              <w:rPr/>
            </w:pPr>
            <w:r>
              <w:rPr/>
              <w:t>2</w:t>
            </w:r>
          </w:p>
        </w:tc>
        <w:tc>
          <w:tcPr>
            <w:tcW w:w="900" w:type="dxa"/>
            <w:tcBorders>
              <w:top w:val="single" w:sz="6" w:space="0" w:color="000000"/>
              <w:start w:val="single" w:sz="12" w:space="0" w:color="000000"/>
              <w:end w:val="single" w:sz="12" w:space="0" w:color="000000"/>
            </w:tcBorders>
            <w:shd w:fill="F3F3F3" w:val="clear"/>
          </w:tcPr>
          <w:p>
            <w:pPr>
              <w:pStyle w:val="BodyText2"/>
              <w:widowControl/>
              <w:spacing w:before="60" w:after="0"/>
              <w:ind w:start="0" w:end="0"/>
              <w:jc w:val="center"/>
              <w:rPr/>
            </w:pPr>
            <w:r>
              <w:rPr/>
              <w:t>4</w:t>
            </w:r>
          </w:p>
        </w:tc>
      </w:tr>
      <w:tr>
        <w:trPr/>
        <w:tc>
          <w:tcPr>
            <w:tcW w:w="1518" w:type="dxa"/>
            <w:tcBorders>
              <w:top w:val="single" w:sz="6" w:space="0" w:color="000000"/>
              <w:start w:val="single" w:sz="12" w:space="0" w:color="000000"/>
              <w:bottom w:val="single" w:sz="12" w:space="0" w:color="000000"/>
              <w:end w:val="single" w:sz="12" w:space="0" w:color="000000"/>
            </w:tcBorders>
          </w:tcPr>
          <w:p>
            <w:pPr>
              <w:pStyle w:val="BodyText2"/>
              <w:widowControl/>
              <w:spacing w:before="60" w:after="0"/>
              <w:ind w:start="0" w:end="0"/>
              <w:rPr/>
            </w:pPr>
            <w:r>
              <w:rPr/>
              <w:t>March</w:t>
            </w:r>
          </w:p>
        </w:tc>
        <w:tc>
          <w:tcPr>
            <w:tcW w:w="732" w:type="dxa"/>
            <w:tcBorders>
              <w:top w:val="single" w:sz="6" w:space="0" w:color="000000"/>
              <w:bottom w:val="single" w:sz="12" w:space="0" w:color="000000"/>
              <w:end w:val="single" w:sz="6" w:space="0" w:color="000000"/>
            </w:tcBorders>
            <w:shd w:fill="F3F3F3" w:val="clear"/>
          </w:tcPr>
          <w:p>
            <w:pPr>
              <w:pStyle w:val="BodyText2"/>
              <w:widowControl/>
              <w:spacing w:before="60" w:after="0"/>
              <w:ind w:start="0" w:end="0"/>
              <w:jc w:val="center"/>
              <w:rPr/>
            </w:pPr>
            <w:r>
              <w:rPr/>
              <w:t>2</w:t>
            </w:r>
          </w:p>
        </w:tc>
        <w:tc>
          <w:tcPr>
            <w:tcW w:w="720" w:type="dxa"/>
            <w:tcBorders>
              <w:top w:val="single" w:sz="6" w:space="0" w:color="000000"/>
              <w:start w:val="single" w:sz="6" w:space="0" w:color="000000"/>
              <w:bottom w:val="single" w:sz="12" w:space="0" w:color="000000"/>
              <w:end w:val="single" w:sz="6" w:space="0" w:color="000000"/>
            </w:tcBorders>
            <w:shd w:fill="F3F3F3" w:val="clear"/>
          </w:tcPr>
          <w:p>
            <w:pPr>
              <w:pStyle w:val="BodyText2"/>
              <w:widowControl/>
              <w:spacing w:before="60" w:after="0"/>
              <w:ind w:start="0" w:end="0"/>
              <w:jc w:val="center"/>
              <w:rPr/>
            </w:pPr>
            <w:r>
              <w:rPr/>
              <w:t>0</w:t>
            </w:r>
          </w:p>
        </w:tc>
        <w:tc>
          <w:tcPr>
            <w:tcW w:w="810" w:type="dxa"/>
            <w:tcBorders>
              <w:top w:val="single" w:sz="6" w:space="0" w:color="000000"/>
              <w:start w:val="single" w:sz="6" w:space="0" w:color="000000"/>
              <w:bottom w:val="single" w:sz="12" w:space="0" w:color="000000"/>
              <w:end w:val="single" w:sz="12" w:space="0" w:color="000000"/>
            </w:tcBorders>
          </w:tcPr>
          <w:p>
            <w:pPr>
              <w:pStyle w:val="BodyText2"/>
              <w:widowControl/>
              <w:spacing w:before="60" w:after="0"/>
              <w:ind w:start="0" w:end="0"/>
              <w:jc w:val="center"/>
              <w:rPr/>
            </w:pPr>
            <w:r>
              <w:rPr/>
              <w:t>2</w:t>
            </w:r>
          </w:p>
        </w:tc>
        <w:tc>
          <w:tcPr>
            <w:tcW w:w="720" w:type="dxa"/>
            <w:tcBorders>
              <w:top w:val="single" w:sz="6" w:space="0" w:color="000000"/>
              <w:start w:val="single" w:sz="12" w:space="0" w:color="000000"/>
              <w:bottom w:val="single" w:sz="12" w:space="0" w:color="000000"/>
              <w:end w:val="single" w:sz="6" w:space="0" w:color="000000"/>
            </w:tcBorders>
            <w:shd w:fill="F3F3F3" w:val="clear"/>
          </w:tcPr>
          <w:p>
            <w:pPr>
              <w:pStyle w:val="BodyText2"/>
              <w:widowControl/>
              <w:spacing w:before="60" w:after="0"/>
              <w:ind w:start="0" w:end="0"/>
              <w:jc w:val="center"/>
              <w:rPr/>
            </w:pPr>
            <w:r>
              <w:rPr/>
              <w:t>1</w:t>
            </w:r>
          </w:p>
        </w:tc>
        <w:tc>
          <w:tcPr>
            <w:tcW w:w="810" w:type="dxa"/>
            <w:tcBorders>
              <w:top w:val="single" w:sz="6" w:space="0" w:color="000000"/>
              <w:start w:val="single" w:sz="6" w:space="0" w:color="000000"/>
              <w:bottom w:val="single" w:sz="12" w:space="0" w:color="000000"/>
              <w:end w:val="single" w:sz="6" w:space="0" w:color="000000"/>
            </w:tcBorders>
            <w:shd w:fill="F3F3F3" w:val="clear"/>
          </w:tcPr>
          <w:p>
            <w:pPr>
              <w:pStyle w:val="BodyText2"/>
              <w:widowControl/>
              <w:spacing w:before="60" w:after="0"/>
              <w:ind w:start="0" w:end="0"/>
              <w:jc w:val="center"/>
              <w:rPr/>
            </w:pPr>
            <w:r>
              <w:rPr/>
              <w:t>0</w:t>
            </w:r>
          </w:p>
        </w:tc>
        <w:tc>
          <w:tcPr>
            <w:tcW w:w="810" w:type="dxa"/>
            <w:tcBorders>
              <w:top w:val="single" w:sz="6" w:space="0" w:color="000000"/>
              <w:start w:val="single" w:sz="6" w:space="0" w:color="000000"/>
              <w:bottom w:val="single" w:sz="12" w:space="0" w:color="000000"/>
            </w:tcBorders>
          </w:tcPr>
          <w:p>
            <w:pPr>
              <w:pStyle w:val="BodyText2"/>
              <w:widowControl/>
              <w:spacing w:before="60" w:after="0"/>
              <w:ind w:start="0" w:end="0"/>
              <w:jc w:val="center"/>
              <w:rPr/>
            </w:pPr>
            <w:r>
              <w:rPr/>
              <w:t>1</w:t>
            </w:r>
          </w:p>
        </w:tc>
        <w:tc>
          <w:tcPr>
            <w:tcW w:w="900" w:type="dxa"/>
            <w:tcBorders>
              <w:top w:val="single" w:sz="6" w:space="0" w:color="000000"/>
              <w:start w:val="single" w:sz="12" w:space="0" w:color="000000"/>
              <w:bottom w:val="single" w:sz="12" w:space="0" w:color="000000"/>
              <w:end w:val="single" w:sz="12" w:space="0" w:color="000000"/>
            </w:tcBorders>
            <w:shd w:fill="F3F3F3" w:val="clear"/>
          </w:tcPr>
          <w:p>
            <w:pPr>
              <w:pStyle w:val="BodyText2"/>
              <w:widowControl/>
              <w:spacing w:before="60" w:after="0"/>
              <w:ind w:start="0" w:end="0"/>
              <w:jc w:val="center"/>
              <w:rPr/>
            </w:pPr>
            <w:r>
              <w:rPr/>
              <w:t>3</w:t>
            </w:r>
          </w:p>
        </w:tc>
      </w:tr>
      <w:tr>
        <w:trPr/>
        <w:tc>
          <w:tcPr>
            <w:tcW w:w="1518" w:type="dxa"/>
            <w:tcBorders>
              <w:top w:val="single" w:sz="12" w:space="0" w:color="000000"/>
              <w:start w:val="single" w:sz="12" w:space="0" w:color="000000"/>
              <w:bottom w:val="single" w:sz="12" w:space="0" w:color="000000"/>
              <w:end w:val="single" w:sz="12" w:space="0" w:color="000000"/>
            </w:tcBorders>
            <w:shd w:fill="FFFFFF" w:val="clear"/>
          </w:tcPr>
          <w:p>
            <w:pPr>
              <w:pStyle w:val="BodyText2"/>
              <w:widowControl/>
              <w:spacing w:before="60" w:after="0"/>
              <w:ind w:start="0" w:end="0"/>
              <w:rPr/>
            </w:pPr>
            <w:r>
              <w:rPr/>
              <w:t>Total</w:t>
            </w:r>
          </w:p>
        </w:tc>
        <w:tc>
          <w:tcPr>
            <w:tcW w:w="732" w:type="dxa"/>
            <w:tcBorders>
              <w:top w:val="single" w:sz="12" w:space="0" w:color="000000"/>
              <w:bottom w:val="single" w:sz="12" w:space="0" w:color="000000"/>
              <w:end w:val="single" w:sz="6" w:space="0" w:color="000000"/>
            </w:tcBorders>
            <w:shd w:fill="F3F3F3" w:val="clear"/>
          </w:tcPr>
          <w:p>
            <w:pPr>
              <w:pStyle w:val="BodyText2"/>
              <w:widowControl/>
              <w:spacing w:before="60" w:after="0"/>
              <w:ind w:start="0" w:end="0"/>
              <w:jc w:val="center"/>
              <w:rPr/>
            </w:pPr>
            <w:r>
              <w:rPr/>
              <w:t>3</w:t>
            </w:r>
          </w:p>
        </w:tc>
        <w:tc>
          <w:tcPr>
            <w:tcW w:w="720" w:type="dxa"/>
            <w:tcBorders>
              <w:top w:val="single" w:sz="12" w:space="0" w:color="000000"/>
              <w:start w:val="single" w:sz="6" w:space="0" w:color="000000"/>
              <w:bottom w:val="single" w:sz="12" w:space="0" w:color="000000"/>
              <w:end w:val="single" w:sz="6" w:space="0" w:color="000000"/>
            </w:tcBorders>
            <w:shd w:fill="F3F3F3" w:val="clear"/>
          </w:tcPr>
          <w:p>
            <w:pPr>
              <w:pStyle w:val="BodyText2"/>
              <w:widowControl/>
              <w:spacing w:before="60" w:after="0"/>
              <w:ind w:start="0" w:end="0"/>
              <w:jc w:val="center"/>
              <w:rPr/>
            </w:pPr>
            <w:r>
              <w:rPr/>
              <w:t>1</w:t>
            </w:r>
          </w:p>
        </w:tc>
        <w:tc>
          <w:tcPr>
            <w:tcW w:w="810" w:type="dxa"/>
            <w:tcBorders>
              <w:top w:val="single" w:sz="12" w:space="0" w:color="000000"/>
              <w:start w:val="single" w:sz="6" w:space="0" w:color="000000"/>
              <w:bottom w:val="single" w:sz="12" w:space="0" w:color="000000"/>
              <w:end w:val="single" w:sz="12" w:space="0" w:color="000000"/>
            </w:tcBorders>
            <w:shd w:fill="FFFFFF" w:val="clear"/>
          </w:tcPr>
          <w:p>
            <w:pPr>
              <w:pStyle w:val="BodyText2"/>
              <w:widowControl/>
              <w:spacing w:before="60" w:after="0"/>
              <w:ind w:start="0" w:end="0"/>
              <w:jc w:val="center"/>
              <w:rPr/>
            </w:pPr>
            <w:r>
              <w:rPr/>
              <w:t>4</w:t>
            </w:r>
          </w:p>
        </w:tc>
        <w:tc>
          <w:tcPr>
            <w:tcW w:w="720" w:type="dxa"/>
            <w:tcBorders>
              <w:top w:val="single" w:sz="12" w:space="0" w:color="000000"/>
              <w:start w:val="single" w:sz="12" w:space="0" w:color="000000"/>
              <w:bottom w:val="single" w:sz="12" w:space="0" w:color="000000"/>
              <w:end w:val="single" w:sz="6" w:space="0" w:color="000000"/>
            </w:tcBorders>
            <w:shd w:fill="F3F3F3" w:val="clear"/>
          </w:tcPr>
          <w:p>
            <w:pPr>
              <w:pStyle w:val="BodyText2"/>
              <w:widowControl/>
              <w:spacing w:before="60" w:after="0"/>
              <w:ind w:start="0" w:end="0"/>
              <w:jc w:val="center"/>
              <w:rPr/>
            </w:pPr>
            <w:r>
              <w:rPr/>
              <w:t>1</w:t>
            </w:r>
          </w:p>
        </w:tc>
        <w:tc>
          <w:tcPr>
            <w:tcW w:w="810" w:type="dxa"/>
            <w:tcBorders>
              <w:top w:val="single" w:sz="12" w:space="0" w:color="000000"/>
              <w:start w:val="single" w:sz="6" w:space="0" w:color="000000"/>
              <w:bottom w:val="single" w:sz="12" w:space="0" w:color="000000"/>
              <w:end w:val="single" w:sz="6" w:space="0" w:color="000000"/>
            </w:tcBorders>
            <w:shd w:fill="F3F3F3" w:val="clear"/>
          </w:tcPr>
          <w:p>
            <w:pPr>
              <w:pStyle w:val="BodyText2"/>
              <w:widowControl/>
              <w:spacing w:before="60" w:after="0"/>
              <w:ind w:start="0" w:end="0"/>
              <w:jc w:val="center"/>
              <w:rPr/>
            </w:pPr>
            <w:r>
              <w:rPr/>
              <w:t>2</w:t>
            </w:r>
          </w:p>
        </w:tc>
        <w:tc>
          <w:tcPr>
            <w:tcW w:w="810" w:type="dxa"/>
            <w:tcBorders>
              <w:top w:val="single" w:sz="12" w:space="0" w:color="000000"/>
              <w:start w:val="single" w:sz="6" w:space="0" w:color="000000"/>
              <w:bottom w:val="single" w:sz="12" w:space="0" w:color="000000"/>
            </w:tcBorders>
            <w:shd w:fill="FFFFFF" w:val="clear"/>
          </w:tcPr>
          <w:p>
            <w:pPr>
              <w:pStyle w:val="BodyText2"/>
              <w:widowControl/>
              <w:spacing w:before="60" w:after="0"/>
              <w:ind w:start="0" w:end="0"/>
              <w:jc w:val="center"/>
              <w:rPr/>
            </w:pPr>
            <w:r>
              <w:rPr/>
              <w:t>3</w:t>
            </w:r>
          </w:p>
        </w:tc>
        <w:tc>
          <w:tcPr>
            <w:tcW w:w="900" w:type="dxa"/>
            <w:tcBorders>
              <w:top w:val="single" w:sz="12" w:space="0" w:color="000000"/>
              <w:start w:val="single" w:sz="12" w:space="0" w:color="000000"/>
              <w:bottom w:val="single" w:sz="12" w:space="0" w:color="000000"/>
              <w:end w:val="single" w:sz="12" w:space="0" w:color="000000"/>
            </w:tcBorders>
            <w:shd w:fill="F3F3F3" w:val="clear"/>
          </w:tcPr>
          <w:p>
            <w:pPr>
              <w:pStyle w:val="BodyText2"/>
              <w:widowControl/>
              <w:spacing w:before="60" w:after="0"/>
              <w:ind w:start="0" w:end="0"/>
              <w:jc w:val="center"/>
              <w:rPr/>
            </w:pPr>
            <w:r>
              <w:rPr/>
              <w:t>7</w:t>
            </w:r>
          </w:p>
        </w:tc>
      </w:tr>
    </w:tbl>
    <w:p>
      <w:pPr>
        <w:pStyle w:val="BodyText2"/>
        <w:widowControl/>
        <w:spacing w:before="180" w:after="0"/>
        <w:rPr/>
      </w:pPr>
      <w:r>
        <w:rPr/>
      </w:r>
    </w:p>
    <w:p>
      <w:pPr>
        <w:pStyle w:val="BodyText2"/>
        <w:widowControl/>
        <w:spacing w:before="180" w:after="0"/>
        <w:rPr/>
      </w:pPr>
      <w:r>
        <w:rPr/>
        <w:t>Table 5 below shows the breakdown of OFO events by the day of the week.  The Low Inventory events occurred during the weekdays, when customer demand typically is higher.  In the past, we have seen majority of the High Inventory events occur on weekends and holidays, or the Friday leading into the weekend, when demand typically drops.  This was not the case during the previous quarter, as all the High Inventory OFO events (February 5</w:t>
      </w:r>
      <w:r>
        <w:rPr>
          <w:vertAlign w:val="superscript"/>
        </w:rPr>
        <w:t>th</w:t>
      </w:r>
      <w:r>
        <w:rPr/>
        <w:t xml:space="preserve"> and March 21</w:t>
      </w:r>
      <w:r>
        <w:rPr>
          <w:vertAlign w:val="superscript"/>
        </w:rPr>
        <w:t>st</w:t>
      </w:r>
      <w:r>
        <w:rPr/>
        <w:t>, 22</w:t>
      </w:r>
      <w:r>
        <w:rPr>
          <w:vertAlign w:val="superscript"/>
        </w:rPr>
        <w:t>nd</w:t>
      </w:r>
      <w:r>
        <w:rPr/>
        <w:t xml:space="preserve"> and 23</w:t>
      </w:r>
      <w:r>
        <w:rPr>
          <w:vertAlign w:val="superscript"/>
        </w:rPr>
        <w:t>rd</w:t>
      </w:r>
      <w:r>
        <w:rPr/>
        <w:t xml:space="preserve">) occurred on weekdays.  However, these events were associated with rapidly changing and unseasonably warm temperatures, and a related reduction in total demand, on the days immediately prior to the events.  </w:t>
      </w:r>
    </w:p>
    <w:p>
      <w:pPr>
        <w:pStyle w:val="BodyText2"/>
        <w:widowControl/>
        <w:spacing w:before="180" w:after="0"/>
        <w:ind w:start="0" w:end="0"/>
        <w:rPr/>
      </w:pPr>
      <w:r>
        <w:rPr/>
      </w:r>
      <w:r>
        <w:br w:type="page"/>
      </w:r>
    </w:p>
    <w:p>
      <w:pPr>
        <w:pStyle w:val="TableHeading1"/>
        <w:widowControl/>
        <w:spacing w:before="60" w:after="120"/>
        <w:rPr/>
      </w:pPr>
      <w:bookmarkStart w:id="13" w:name="__RefHeading___Toc504897735"/>
      <w:bookmarkEnd w:id="13"/>
      <w:r>
        <w:rPr/>
        <w:t>Table 5:   Distribution of OFOs by Day-of-Week</w:t>
      </w:r>
    </w:p>
    <w:tbl>
      <w:tblPr>
        <w:tblW w:w="7740" w:type="dxa"/>
        <w:jc w:val="start"/>
        <w:tblInd w:w="918" w:type="dxa"/>
        <w:tblLayout w:type="fixed"/>
        <w:tblCellMar>
          <w:top w:w="0" w:type="dxa"/>
          <w:start w:w="108" w:type="dxa"/>
          <w:bottom w:w="0" w:type="dxa"/>
          <w:end w:w="108" w:type="dxa"/>
        </w:tblCellMar>
      </w:tblPr>
      <w:tblGrid>
        <w:gridCol w:w="1440"/>
        <w:gridCol w:w="1050"/>
        <w:gridCol w:w="1050"/>
        <w:gridCol w:w="1050"/>
        <w:gridCol w:w="1050"/>
        <w:gridCol w:w="1050"/>
        <w:gridCol w:w="1050"/>
      </w:tblGrid>
      <w:tr>
        <w:trPr/>
        <w:tc>
          <w:tcPr>
            <w:tcW w:w="1440" w:type="dxa"/>
            <w:tcBorders>
              <w:end w:val="single" w:sz="12" w:space="0" w:color="000000"/>
            </w:tcBorders>
          </w:tcPr>
          <w:p>
            <w:pPr>
              <w:pStyle w:val="BodyText2"/>
              <w:keepNext w:val="true"/>
              <w:widowControl/>
              <w:snapToGrid w:val="false"/>
              <w:spacing w:before="20" w:after="20"/>
              <w:ind w:start="0" w:end="0"/>
              <w:rPr/>
            </w:pPr>
            <w:r>
              <w:rPr/>
            </w:r>
          </w:p>
        </w:tc>
        <w:tc>
          <w:tcPr>
            <w:tcW w:w="3150" w:type="dxa"/>
            <w:gridSpan w:val="3"/>
            <w:tcBorders>
              <w:top w:val="single" w:sz="12" w:space="0" w:color="000000"/>
              <w:bottom w:val="single" w:sz="12" w:space="0" w:color="000000"/>
              <w:end w:val="single" w:sz="12" w:space="0" w:color="000000"/>
            </w:tcBorders>
            <w:shd w:fill="FFFFFF" w:val="clear"/>
          </w:tcPr>
          <w:p>
            <w:pPr>
              <w:pStyle w:val="BodyText2"/>
              <w:keepNext w:val="true"/>
              <w:widowControl/>
              <w:spacing w:before="20" w:after="20"/>
              <w:ind w:start="0" w:end="0"/>
              <w:jc w:val="center"/>
              <w:rPr/>
            </w:pPr>
            <w:r>
              <w:rPr/>
              <w:t>Jan-Mar, 2001 Quarter</w:t>
            </w:r>
          </w:p>
        </w:tc>
        <w:tc>
          <w:tcPr>
            <w:tcW w:w="3150" w:type="dxa"/>
            <w:gridSpan w:val="3"/>
            <w:tcBorders>
              <w:top w:val="single" w:sz="12" w:space="0" w:color="000000"/>
              <w:start w:val="single" w:sz="12" w:space="0" w:color="000000"/>
              <w:bottom w:val="single" w:sz="12" w:space="0" w:color="000000"/>
              <w:end w:val="single" w:sz="12" w:space="0" w:color="000000"/>
            </w:tcBorders>
          </w:tcPr>
          <w:p>
            <w:pPr>
              <w:pStyle w:val="BodyText2"/>
              <w:keepNext w:val="true"/>
              <w:widowControl/>
              <w:spacing w:before="20" w:after="20"/>
              <w:ind w:start="0" w:end="0"/>
              <w:jc w:val="center"/>
              <w:rPr/>
            </w:pPr>
            <w:r>
              <w:rPr/>
              <w:t>Total Since April 1998</w:t>
            </w:r>
          </w:p>
        </w:tc>
      </w:tr>
      <w:tr>
        <w:trPr/>
        <w:tc>
          <w:tcPr>
            <w:tcW w:w="1440" w:type="dxa"/>
            <w:tcBorders>
              <w:bottom w:val="single" w:sz="12" w:space="0" w:color="000000"/>
              <w:end w:val="single" w:sz="12" w:space="0" w:color="000000"/>
            </w:tcBorders>
          </w:tcPr>
          <w:p>
            <w:pPr>
              <w:pStyle w:val="BodyText2"/>
              <w:keepNext w:val="true"/>
              <w:widowControl/>
              <w:snapToGrid w:val="false"/>
              <w:spacing w:before="20" w:after="20"/>
              <w:ind w:start="0" w:end="0"/>
              <w:rPr/>
            </w:pPr>
            <w:r>
              <w:rPr/>
            </w:r>
          </w:p>
        </w:tc>
        <w:tc>
          <w:tcPr>
            <w:tcW w:w="1050" w:type="dxa"/>
            <w:tcBorders>
              <w:top w:val="single" w:sz="12" w:space="0" w:color="000000"/>
              <w:bottom w:val="single" w:sz="12" w:space="0" w:color="000000"/>
              <w:end w:val="single" w:sz="6" w:space="0" w:color="000000"/>
            </w:tcBorders>
            <w:shd w:fill="E6E6E6" w:val="clear"/>
          </w:tcPr>
          <w:p>
            <w:pPr>
              <w:pStyle w:val="BodyText2"/>
              <w:keepNext w:val="true"/>
              <w:widowControl/>
              <w:spacing w:before="20" w:after="20"/>
              <w:ind w:start="0" w:end="0"/>
              <w:jc w:val="center"/>
              <w:rPr/>
            </w:pPr>
            <w:r>
              <w:rPr/>
              <w:t>High OFO</w:t>
            </w:r>
          </w:p>
        </w:tc>
        <w:tc>
          <w:tcPr>
            <w:tcW w:w="1050" w:type="dxa"/>
            <w:tcBorders>
              <w:top w:val="single" w:sz="12" w:space="0" w:color="000000"/>
              <w:start w:val="single" w:sz="6" w:space="0" w:color="000000"/>
              <w:bottom w:val="single" w:sz="12" w:space="0" w:color="000000"/>
            </w:tcBorders>
            <w:shd w:fill="E6E6E6" w:val="clear"/>
          </w:tcPr>
          <w:p>
            <w:pPr>
              <w:pStyle w:val="BodyText2"/>
              <w:keepNext w:val="true"/>
              <w:widowControl/>
              <w:spacing w:before="20" w:after="20"/>
              <w:ind w:start="0" w:end="0"/>
              <w:jc w:val="center"/>
              <w:rPr/>
            </w:pPr>
            <w:r>
              <w:rPr/>
              <w:t>Low OFO</w:t>
            </w:r>
          </w:p>
        </w:tc>
        <w:tc>
          <w:tcPr>
            <w:tcW w:w="1050" w:type="dxa"/>
            <w:tcBorders>
              <w:top w:val="single" w:sz="12" w:space="0" w:color="000000"/>
              <w:start w:val="single" w:sz="12" w:space="0" w:color="000000"/>
              <w:bottom w:val="single" w:sz="12" w:space="0" w:color="000000"/>
              <w:end w:val="single" w:sz="12" w:space="0" w:color="000000"/>
            </w:tcBorders>
            <w:shd w:fill="FFFFFF" w:val="clear"/>
          </w:tcPr>
          <w:p>
            <w:pPr>
              <w:pStyle w:val="BodyText2"/>
              <w:keepNext w:val="true"/>
              <w:widowControl/>
              <w:spacing w:before="20" w:after="20"/>
              <w:ind w:start="0" w:end="0"/>
              <w:jc w:val="center"/>
              <w:rPr/>
            </w:pPr>
            <w:r>
              <w:rPr/>
              <w:t>Total</w:t>
            </w:r>
          </w:p>
        </w:tc>
        <w:tc>
          <w:tcPr>
            <w:tcW w:w="1050" w:type="dxa"/>
            <w:tcBorders>
              <w:top w:val="single" w:sz="12" w:space="0" w:color="000000"/>
              <w:start w:val="single" w:sz="12" w:space="0" w:color="000000"/>
              <w:bottom w:val="single" w:sz="12" w:space="0" w:color="000000"/>
              <w:end w:val="single" w:sz="12" w:space="0" w:color="000000"/>
            </w:tcBorders>
            <w:shd w:fill="E6E6E6" w:val="clear"/>
          </w:tcPr>
          <w:p>
            <w:pPr>
              <w:pStyle w:val="BodyText2"/>
              <w:keepNext w:val="true"/>
              <w:widowControl/>
              <w:spacing w:before="20" w:after="20"/>
              <w:ind w:start="0" w:end="0"/>
              <w:jc w:val="center"/>
              <w:rPr/>
            </w:pPr>
            <w:r>
              <w:rPr/>
              <w:t>High OFO</w:t>
            </w:r>
          </w:p>
        </w:tc>
        <w:tc>
          <w:tcPr>
            <w:tcW w:w="1050" w:type="dxa"/>
            <w:tcBorders>
              <w:top w:val="single" w:sz="12" w:space="0" w:color="000000"/>
              <w:start w:val="single" w:sz="12" w:space="0" w:color="000000"/>
              <w:bottom w:val="single" w:sz="12" w:space="0" w:color="000000"/>
              <w:end w:val="single" w:sz="12" w:space="0" w:color="000000"/>
            </w:tcBorders>
            <w:shd w:fill="E6E6E6" w:val="clear"/>
          </w:tcPr>
          <w:p>
            <w:pPr>
              <w:pStyle w:val="BodyText2"/>
              <w:keepNext w:val="true"/>
              <w:widowControl/>
              <w:spacing w:before="20" w:after="20"/>
              <w:ind w:start="0" w:end="0"/>
              <w:jc w:val="center"/>
              <w:rPr/>
            </w:pPr>
            <w:r>
              <w:rPr/>
              <w:t>Low OFO</w:t>
            </w:r>
          </w:p>
        </w:tc>
        <w:tc>
          <w:tcPr>
            <w:tcW w:w="1050" w:type="dxa"/>
            <w:tcBorders>
              <w:top w:val="single" w:sz="12" w:space="0" w:color="000000"/>
              <w:start w:val="single" w:sz="12" w:space="0" w:color="000000"/>
              <w:bottom w:val="single" w:sz="12" w:space="0" w:color="000000"/>
              <w:end w:val="single" w:sz="12" w:space="0" w:color="000000"/>
            </w:tcBorders>
          </w:tcPr>
          <w:p>
            <w:pPr>
              <w:pStyle w:val="BodyText2"/>
              <w:keepNext w:val="true"/>
              <w:widowControl/>
              <w:spacing w:before="20" w:after="20"/>
              <w:ind w:start="0" w:end="0"/>
              <w:jc w:val="center"/>
              <w:rPr/>
            </w:pPr>
            <w:r>
              <w:rPr/>
              <w:t>Total</w:t>
            </w:r>
          </w:p>
        </w:tc>
      </w:tr>
      <w:tr>
        <w:trPr/>
        <w:tc>
          <w:tcPr>
            <w:tcW w:w="1440" w:type="dxa"/>
            <w:tcBorders>
              <w:top w:val="single" w:sz="6" w:space="0" w:color="000000"/>
              <w:start w:val="single" w:sz="12" w:space="0" w:color="000000"/>
              <w:bottom w:val="single" w:sz="6" w:space="0" w:color="000000"/>
              <w:end w:val="single" w:sz="12" w:space="0" w:color="000000"/>
            </w:tcBorders>
          </w:tcPr>
          <w:p>
            <w:pPr>
              <w:pStyle w:val="BodyText2"/>
              <w:keepNext w:val="true"/>
              <w:widowControl/>
              <w:spacing w:before="60" w:after="0"/>
              <w:ind w:start="0" w:end="0"/>
              <w:rPr/>
            </w:pPr>
            <w:r>
              <w:rPr/>
              <w:t>Monday</w:t>
            </w:r>
          </w:p>
        </w:tc>
        <w:tc>
          <w:tcPr>
            <w:tcW w:w="1050" w:type="dxa"/>
            <w:tcBorders>
              <w:bottom w:val="single" w:sz="6" w:space="0" w:color="000000"/>
              <w:end w:val="single" w:sz="6" w:space="0" w:color="000000"/>
            </w:tcBorders>
            <w:shd w:fill="E6E6E6" w:val="clear"/>
          </w:tcPr>
          <w:p>
            <w:pPr>
              <w:pStyle w:val="BodyText2"/>
              <w:keepNext w:val="true"/>
              <w:widowControl/>
              <w:tabs>
                <w:tab w:val="clear" w:pos="720"/>
                <w:tab w:val="decimal" w:pos="522" w:leader="none"/>
              </w:tabs>
              <w:spacing w:before="60" w:after="0"/>
              <w:ind w:start="0" w:end="0"/>
              <w:rPr/>
            </w:pPr>
            <w:r>
              <w:rPr/>
              <w:t>0</w:t>
            </w:r>
          </w:p>
        </w:tc>
        <w:tc>
          <w:tcPr>
            <w:tcW w:w="1050" w:type="dxa"/>
            <w:tcBorders>
              <w:start w:val="single" w:sz="6" w:space="0" w:color="000000"/>
              <w:bottom w:val="single" w:sz="6" w:space="0" w:color="000000"/>
            </w:tcBorders>
            <w:shd w:fill="E6E6E6" w:val="clear"/>
          </w:tcPr>
          <w:p>
            <w:pPr>
              <w:pStyle w:val="BodyText2"/>
              <w:keepNext w:val="true"/>
              <w:widowControl/>
              <w:tabs>
                <w:tab w:val="clear" w:pos="720"/>
                <w:tab w:val="decimal" w:pos="522" w:leader="none"/>
              </w:tabs>
              <w:spacing w:before="60" w:after="0"/>
              <w:ind w:start="0" w:end="0"/>
              <w:rPr/>
            </w:pPr>
            <w:r>
              <w:rPr/>
              <w:t>1</w:t>
            </w:r>
          </w:p>
        </w:tc>
        <w:tc>
          <w:tcPr>
            <w:tcW w:w="1050" w:type="dxa"/>
            <w:tcBorders>
              <w:start w:val="single" w:sz="12" w:space="0" w:color="000000"/>
              <w:bottom w:val="single" w:sz="6" w:space="0" w:color="000000"/>
              <w:end w:val="single" w:sz="12" w:space="0" w:color="000000"/>
            </w:tcBorders>
            <w:shd w:fill="FFFFFF" w:val="clear"/>
          </w:tcPr>
          <w:p>
            <w:pPr>
              <w:pStyle w:val="BodyText2"/>
              <w:keepNext w:val="true"/>
              <w:widowControl/>
              <w:tabs>
                <w:tab w:val="clear" w:pos="720"/>
                <w:tab w:val="decimal" w:pos="522" w:leader="none"/>
              </w:tabs>
              <w:spacing w:before="60" w:after="0"/>
              <w:ind w:start="0" w:end="0"/>
              <w:rPr/>
            </w:pPr>
            <w:r>
              <w:rPr/>
              <w:t>1</w:t>
            </w:r>
          </w:p>
        </w:tc>
        <w:tc>
          <w:tcPr>
            <w:tcW w:w="1050" w:type="dxa"/>
            <w:tcBorders>
              <w:start w:val="single" w:sz="12" w:space="0" w:color="000000"/>
              <w:bottom w:val="single" w:sz="6" w:space="0" w:color="000000"/>
              <w:end w:val="single" w:sz="12" w:space="0" w:color="000000"/>
            </w:tcBorders>
            <w:shd w:fill="E6E6E6" w:val="clear"/>
          </w:tcPr>
          <w:p>
            <w:pPr>
              <w:pStyle w:val="BodyText2"/>
              <w:keepNext w:val="true"/>
              <w:widowControl/>
              <w:tabs>
                <w:tab w:val="clear" w:pos="720"/>
                <w:tab w:val="decimal" w:pos="522" w:leader="none"/>
              </w:tabs>
              <w:spacing w:before="60" w:after="0"/>
              <w:ind w:start="0" w:end="0"/>
              <w:rPr/>
            </w:pPr>
            <w:r>
              <w:rPr/>
              <w:t>12</w:t>
            </w:r>
          </w:p>
        </w:tc>
        <w:tc>
          <w:tcPr>
            <w:tcW w:w="1050" w:type="dxa"/>
            <w:tcBorders>
              <w:start w:val="single" w:sz="12" w:space="0" w:color="000000"/>
              <w:bottom w:val="single" w:sz="6" w:space="0" w:color="000000"/>
              <w:end w:val="single" w:sz="12" w:space="0" w:color="000000"/>
            </w:tcBorders>
            <w:shd w:fill="E6E6E6" w:val="clear"/>
          </w:tcPr>
          <w:p>
            <w:pPr>
              <w:pStyle w:val="BodyText2"/>
              <w:keepNext w:val="true"/>
              <w:widowControl/>
              <w:tabs>
                <w:tab w:val="clear" w:pos="720"/>
                <w:tab w:val="decimal" w:pos="522" w:leader="none"/>
              </w:tabs>
              <w:spacing w:before="60" w:after="0"/>
              <w:ind w:start="0" w:end="0"/>
              <w:rPr/>
            </w:pPr>
            <w:r>
              <w:rPr/>
              <w:t>5</w:t>
            </w:r>
          </w:p>
        </w:tc>
        <w:tc>
          <w:tcPr>
            <w:tcW w:w="1050" w:type="dxa"/>
            <w:tcBorders>
              <w:start w:val="single" w:sz="12" w:space="0" w:color="000000"/>
              <w:bottom w:val="single" w:sz="6" w:space="0" w:color="000000"/>
              <w:end w:val="single" w:sz="12" w:space="0" w:color="000000"/>
            </w:tcBorders>
          </w:tcPr>
          <w:p>
            <w:pPr>
              <w:pStyle w:val="BodyText2"/>
              <w:keepNext w:val="true"/>
              <w:widowControl/>
              <w:tabs>
                <w:tab w:val="clear" w:pos="720"/>
                <w:tab w:val="decimal" w:pos="522" w:leader="none"/>
              </w:tabs>
              <w:spacing w:before="60" w:after="0"/>
              <w:ind w:start="0" w:end="0"/>
              <w:rPr/>
            </w:pPr>
            <w:r>
              <w:rPr/>
              <w:t>17</w:t>
            </w:r>
          </w:p>
        </w:tc>
      </w:tr>
      <w:tr>
        <w:trPr/>
        <w:tc>
          <w:tcPr>
            <w:tcW w:w="1440" w:type="dxa"/>
            <w:tcBorders>
              <w:top w:val="single" w:sz="6" w:space="0" w:color="000000"/>
              <w:start w:val="single" w:sz="12" w:space="0" w:color="000000"/>
              <w:end w:val="single" w:sz="12" w:space="0" w:color="000000"/>
            </w:tcBorders>
          </w:tcPr>
          <w:p>
            <w:pPr>
              <w:pStyle w:val="BodyText2"/>
              <w:widowControl/>
              <w:spacing w:before="60" w:after="0"/>
              <w:ind w:start="0" w:end="0"/>
              <w:rPr/>
            </w:pPr>
            <w:r>
              <w:rPr/>
              <w:t>Tuesday</w:t>
            </w:r>
          </w:p>
        </w:tc>
        <w:tc>
          <w:tcPr>
            <w:tcW w:w="1050" w:type="dxa"/>
            <w:tcBorders>
              <w:top w:val="single" w:sz="6"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6"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12"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4</w:t>
            </w:r>
          </w:p>
        </w:tc>
        <w:tc>
          <w:tcPr>
            <w:tcW w:w="1050" w:type="dxa"/>
            <w:tcBorders>
              <w:top w:val="single" w:sz="6" w:space="0" w:color="000000"/>
              <w:start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12</w:t>
            </w:r>
          </w:p>
        </w:tc>
        <w:tc>
          <w:tcPr>
            <w:tcW w:w="1050" w:type="dxa"/>
            <w:tcBorders>
              <w:top w:val="single" w:sz="6" w:space="0" w:color="000000"/>
              <w:start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16</w:t>
            </w:r>
          </w:p>
        </w:tc>
      </w:tr>
      <w:tr>
        <w:trPr/>
        <w:tc>
          <w:tcPr>
            <w:tcW w:w="1440" w:type="dxa"/>
            <w:tcBorders>
              <w:top w:val="single" w:sz="6" w:space="0" w:color="000000"/>
              <w:start w:val="single" w:sz="12" w:space="0" w:color="000000"/>
              <w:bottom w:val="single" w:sz="6" w:space="0" w:color="000000"/>
              <w:end w:val="single" w:sz="12" w:space="0" w:color="000000"/>
            </w:tcBorders>
          </w:tcPr>
          <w:p>
            <w:pPr>
              <w:pStyle w:val="BodyText2"/>
              <w:widowControl/>
              <w:spacing w:before="60" w:after="0"/>
              <w:ind w:start="0" w:end="0"/>
              <w:rPr/>
            </w:pPr>
            <w:r>
              <w:rPr/>
              <w:t>Wednesday</w:t>
            </w:r>
          </w:p>
        </w:tc>
        <w:tc>
          <w:tcPr>
            <w:tcW w:w="1050" w:type="dxa"/>
            <w:tcBorders>
              <w:top w:val="single" w:sz="6" w:space="0" w:color="000000"/>
              <w:bottom w:val="single" w:sz="6"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6" w:space="0" w:color="000000"/>
              <w:bottom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12" w:space="0" w:color="000000"/>
              <w:bottom w:val="single" w:sz="6"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2</w:t>
            </w:r>
          </w:p>
        </w:tc>
        <w:tc>
          <w:tcPr>
            <w:tcW w:w="1050" w:type="dxa"/>
            <w:tcBorders>
              <w:top w:val="single" w:sz="6" w:space="0" w:color="000000"/>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7</w:t>
            </w:r>
          </w:p>
        </w:tc>
        <w:tc>
          <w:tcPr>
            <w:tcW w:w="1050" w:type="dxa"/>
            <w:tcBorders>
              <w:top w:val="single" w:sz="6" w:space="0" w:color="000000"/>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12</w:t>
            </w:r>
          </w:p>
        </w:tc>
        <w:tc>
          <w:tcPr>
            <w:tcW w:w="1050" w:type="dxa"/>
            <w:tcBorders>
              <w:top w:val="single" w:sz="6" w:space="0" w:color="000000"/>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19</w:t>
            </w:r>
          </w:p>
        </w:tc>
      </w:tr>
      <w:tr>
        <w:trPr/>
        <w:tc>
          <w:tcPr>
            <w:tcW w:w="1440" w:type="dxa"/>
            <w:tcBorders>
              <w:start w:val="single" w:sz="12" w:space="0" w:color="000000"/>
              <w:bottom w:val="single" w:sz="6" w:space="0" w:color="000000"/>
              <w:end w:val="single" w:sz="12" w:space="0" w:color="000000"/>
            </w:tcBorders>
          </w:tcPr>
          <w:p>
            <w:pPr>
              <w:pStyle w:val="BodyText2"/>
              <w:widowControl/>
              <w:spacing w:before="60" w:after="0"/>
              <w:ind w:start="0" w:end="0"/>
              <w:rPr/>
            </w:pPr>
            <w:r>
              <w:rPr/>
              <w:t>Thursday</w:t>
            </w:r>
          </w:p>
        </w:tc>
        <w:tc>
          <w:tcPr>
            <w:tcW w:w="1050" w:type="dxa"/>
            <w:tcBorders>
              <w:bottom w:val="single" w:sz="6"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start w:val="single" w:sz="6" w:space="0" w:color="000000"/>
              <w:bottom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start w:val="single" w:sz="12" w:space="0" w:color="000000"/>
              <w:bottom w:val="single" w:sz="6"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2</w:t>
            </w:r>
          </w:p>
        </w:tc>
        <w:tc>
          <w:tcPr>
            <w:tcW w:w="1050" w:type="dxa"/>
            <w:tcBorders>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13</w:t>
            </w:r>
          </w:p>
        </w:tc>
        <w:tc>
          <w:tcPr>
            <w:tcW w:w="1050" w:type="dxa"/>
            <w:tcBorders>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6</w:t>
            </w:r>
          </w:p>
        </w:tc>
        <w:tc>
          <w:tcPr>
            <w:tcW w:w="1050" w:type="dxa"/>
            <w:tcBorders>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19</w:t>
            </w:r>
          </w:p>
        </w:tc>
      </w:tr>
      <w:tr>
        <w:trPr/>
        <w:tc>
          <w:tcPr>
            <w:tcW w:w="1440" w:type="dxa"/>
            <w:tcBorders>
              <w:start w:val="single" w:sz="12" w:space="0" w:color="000000"/>
              <w:bottom w:val="single" w:sz="6" w:space="0" w:color="000000"/>
              <w:end w:val="single" w:sz="12" w:space="0" w:color="000000"/>
            </w:tcBorders>
          </w:tcPr>
          <w:p>
            <w:pPr>
              <w:pStyle w:val="BodyText2"/>
              <w:widowControl/>
              <w:spacing w:before="60" w:after="0"/>
              <w:ind w:start="0" w:end="0"/>
              <w:rPr/>
            </w:pPr>
            <w:r>
              <w:rPr/>
              <w:t>Friday</w:t>
            </w:r>
          </w:p>
        </w:tc>
        <w:tc>
          <w:tcPr>
            <w:tcW w:w="1050" w:type="dxa"/>
            <w:tcBorders>
              <w:bottom w:val="single" w:sz="6"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start w:val="single" w:sz="6" w:space="0" w:color="000000"/>
              <w:bottom w:val="single" w:sz="6"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start w:val="single" w:sz="12" w:space="0" w:color="000000"/>
              <w:bottom w:val="single" w:sz="6"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1</w:t>
            </w:r>
          </w:p>
        </w:tc>
        <w:tc>
          <w:tcPr>
            <w:tcW w:w="1050" w:type="dxa"/>
            <w:tcBorders>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15</w:t>
            </w:r>
          </w:p>
        </w:tc>
        <w:tc>
          <w:tcPr>
            <w:tcW w:w="1050" w:type="dxa"/>
            <w:tcBorders>
              <w:start w:val="single" w:sz="12" w:space="0" w:color="000000"/>
              <w:bottom w:val="single" w:sz="6"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3</w:t>
            </w:r>
          </w:p>
        </w:tc>
        <w:tc>
          <w:tcPr>
            <w:tcW w:w="1050" w:type="dxa"/>
            <w:tcBorders>
              <w:start w:val="single" w:sz="12" w:space="0" w:color="000000"/>
              <w:bottom w:val="single" w:sz="6" w:space="0" w:color="000000"/>
              <w:end w:val="single" w:sz="12" w:space="0" w:color="000000"/>
            </w:tcBorders>
          </w:tcPr>
          <w:p>
            <w:pPr>
              <w:pStyle w:val="BodyText2"/>
              <w:widowControl/>
              <w:tabs>
                <w:tab w:val="clear" w:pos="720"/>
                <w:tab w:val="decimal" w:pos="522" w:leader="none"/>
              </w:tabs>
              <w:spacing w:before="60" w:after="0"/>
              <w:ind w:start="0" w:end="0"/>
              <w:rPr/>
            </w:pPr>
            <w:r>
              <w:rPr/>
              <w:t>18</w:t>
            </w:r>
          </w:p>
        </w:tc>
      </w:tr>
      <w:tr>
        <w:trPr/>
        <w:tc>
          <w:tcPr>
            <w:tcW w:w="1440" w:type="dxa"/>
            <w:tcBorders>
              <w:start w:val="single" w:sz="12" w:space="0" w:color="000000"/>
              <w:end w:val="single" w:sz="12" w:space="0" w:color="000000"/>
            </w:tcBorders>
          </w:tcPr>
          <w:p>
            <w:pPr>
              <w:pStyle w:val="BodyText2"/>
              <w:widowControl/>
              <w:spacing w:before="60" w:after="0"/>
              <w:ind w:start="0" w:end="0"/>
              <w:rPr/>
            </w:pPr>
            <w:r>
              <w:rPr/>
              <w:t>Saturday</w:t>
            </w:r>
          </w:p>
        </w:tc>
        <w:tc>
          <w:tcPr>
            <w:tcW w:w="1050" w:type="dxa"/>
            <w:tcBorders>
              <w:end w:val="single" w:sz="6"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start w:val="single" w:sz="6"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start w:val="single" w:sz="12"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0</w:t>
            </w:r>
          </w:p>
        </w:tc>
        <w:tc>
          <w:tcPr>
            <w:tcW w:w="1050" w:type="dxa"/>
            <w:tcBorders>
              <w:start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25</w:t>
            </w:r>
          </w:p>
        </w:tc>
        <w:tc>
          <w:tcPr>
            <w:tcW w:w="1050" w:type="dxa"/>
            <w:tcBorders>
              <w:start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2</w:t>
            </w:r>
          </w:p>
        </w:tc>
        <w:tc>
          <w:tcPr>
            <w:tcW w:w="1050" w:type="dxa"/>
            <w:tcBorders>
              <w:start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27</w:t>
            </w:r>
          </w:p>
        </w:tc>
      </w:tr>
      <w:tr>
        <w:trPr/>
        <w:tc>
          <w:tcPr>
            <w:tcW w:w="1440" w:type="dxa"/>
            <w:tcBorders>
              <w:top w:val="single" w:sz="6" w:space="0" w:color="000000"/>
              <w:start w:val="single" w:sz="12" w:space="0" w:color="000000"/>
              <w:bottom w:val="single" w:sz="12" w:space="0" w:color="000000"/>
              <w:end w:val="single" w:sz="12" w:space="0" w:color="000000"/>
            </w:tcBorders>
          </w:tcPr>
          <w:p>
            <w:pPr>
              <w:pStyle w:val="BodyText2"/>
              <w:widowControl/>
              <w:spacing w:before="60" w:after="0"/>
              <w:ind w:start="0" w:end="0"/>
              <w:rPr/>
            </w:pPr>
            <w:r>
              <w:rPr/>
              <w:t>Sunday</w:t>
            </w:r>
          </w:p>
        </w:tc>
        <w:tc>
          <w:tcPr>
            <w:tcW w:w="1050" w:type="dxa"/>
            <w:tcBorders>
              <w:top w:val="single" w:sz="6" w:space="0" w:color="000000"/>
              <w:bottom w:val="single" w:sz="12"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6" w:space="0" w:color="000000"/>
              <w:bottom w:val="single" w:sz="12" w:space="0" w:color="000000"/>
            </w:tcBorders>
            <w:shd w:fill="E6E6E6" w:val="clear"/>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12" w:space="0" w:color="000000"/>
              <w:bottom w:val="single" w:sz="12"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0</w:t>
            </w:r>
          </w:p>
        </w:tc>
        <w:tc>
          <w:tcPr>
            <w:tcW w:w="1050" w:type="dxa"/>
            <w:tcBorders>
              <w:top w:val="single" w:sz="6" w:space="0" w:color="000000"/>
              <w:start w:val="single" w:sz="12" w:space="0" w:color="000000"/>
              <w:bottom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28</w:t>
            </w:r>
          </w:p>
        </w:tc>
        <w:tc>
          <w:tcPr>
            <w:tcW w:w="1050" w:type="dxa"/>
            <w:tcBorders>
              <w:top w:val="single" w:sz="6" w:space="0" w:color="000000"/>
              <w:start w:val="single" w:sz="12" w:space="0" w:color="000000"/>
              <w:bottom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w:t>
            </w:r>
          </w:p>
        </w:tc>
        <w:tc>
          <w:tcPr>
            <w:tcW w:w="1050" w:type="dxa"/>
            <w:tcBorders>
              <w:top w:val="single" w:sz="6" w:space="0" w:color="000000"/>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29</w:t>
            </w:r>
          </w:p>
        </w:tc>
      </w:tr>
      <w:tr>
        <w:trPr/>
        <w:tc>
          <w:tcPr>
            <w:tcW w:w="1440" w:type="dxa"/>
            <w:tcBorders>
              <w:start w:val="single" w:sz="12" w:space="0" w:color="000000"/>
              <w:bottom w:val="single" w:sz="12" w:space="0" w:color="000000"/>
              <w:end w:val="single" w:sz="12" w:space="0" w:color="000000"/>
            </w:tcBorders>
          </w:tcPr>
          <w:p>
            <w:pPr>
              <w:pStyle w:val="BodyText2"/>
              <w:widowControl/>
              <w:spacing w:before="60" w:after="0"/>
              <w:ind w:start="0" w:end="0"/>
              <w:rPr/>
            </w:pPr>
            <w:r>
              <w:rPr/>
              <w:t>Total</w:t>
            </w:r>
          </w:p>
        </w:tc>
        <w:tc>
          <w:tcPr>
            <w:tcW w:w="1050" w:type="dxa"/>
            <w:tcBorders>
              <w:bottom w:val="single" w:sz="12" w:space="0" w:color="000000"/>
              <w:end w:val="single" w:sz="6" w:space="0" w:color="000000"/>
            </w:tcBorders>
            <w:shd w:fill="E6E6E6" w:val="clear"/>
          </w:tcPr>
          <w:p>
            <w:pPr>
              <w:pStyle w:val="BodyText2"/>
              <w:widowControl/>
              <w:tabs>
                <w:tab w:val="clear" w:pos="720"/>
                <w:tab w:val="decimal" w:pos="522" w:leader="none"/>
              </w:tabs>
              <w:spacing w:before="60" w:after="0"/>
              <w:ind w:start="0" w:end="0"/>
              <w:rPr/>
            </w:pPr>
            <w:r>
              <w:rPr/>
              <w:t>4</w:t>
            </w:r>
          </w:p>
        </w:tc>
        <w:tc>
          <w:tcPr>
            <w:tcW w:w="1050" w:type="dxa"/>
            <w:tcBorders>
              <w:start w:val="single" w:sz="6" w:space="0" w:color="000000"/>
              <w:bottom w:val="single" w:sz="12" w:space="0" w:color="000000"/>
            </w:tcBorders>
            <w:shd w:fill="E6E6E6" w:val="clear"/>
          </w:tcPr>
          <w:p>
            <w:pPr>
              <w:pStyle w:val="BodyText2"/>
              <w:widowControl/>
              <w:tabs>
                <w:tab w:val="clear" w:pos="720"/>
                <w:tab w:val="decimal" w:pos="522" w:leader="none"/>
              </w:tabs>
              <w:spacing w:before="60" w:after="0"/>
              <w:ind w:start="0" w:end="0"/>
              <w:rPr/>
            </w:pPr>
            <w:r>
              <w:rPr/>
              <w:t>3</w:t>
            </w:r>
          </w:p>
        </w:tc>
        <w:tc>
          <w:tcPr>
            <w:tcW w:w="1050" w:type="dxa"/>
            <w:tcBorders>
              <w:start w:val="single" w:sz="12" w:space="0" w:color="000000"/>
              <w:bottom w:val="single" w:sz="12" w:space="0" w:color="000000"/>
              <w:end w:val="single" w:sz="12" w:space="0" w:color="000000"/>
            </w:tcBorders>
            <w:shd w:fill="FFFFFF" w:val="clear"/>
          </w:tcPr>
          <w:p>
            <w:pPr>
              <w:pStyle w:val="BodyText2"/>
              <w:widowControl/>
              <w:tabs>
                <w:tab w:val="clear" w:pos="720"/>
                <w:tab w:val="decimal" w:pos="522" w:leader="none"/>
              </w:tabs>
              <w:spacing w:before="60" w:after="0"/>
              <w:ind w:start="0" w:end="0"/>
              <w:rPr/>
            </w:pPr>
            <w:r>
              <w:rPr/>
              <w:t>7</w:t>
            </w:r>
          </w:p>
        </w:tc>
        <w:tc>
          <w:tcPr>
            <w:tcW w:w="1050" w:type="dxa"/>
            <w:tcBorders>
              <w:start w:val="single" w:sz="12" w:space="0" w:color="000000"/>
              <w:bottom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104</w:t>
            </w:r>
          </w:p>
        </w:tc>
        <w:tc>
          <w:tcPr>
            <w:tcW w:w="1050" w:type="dxa"/>
            <w:tcBorders>
              <w:start w:val="single" w:sz="12" w:space="0" w:color="000000"/>
              <w:bottom w:val="single" w:sz="12" w:space="0" w:color="000000"/>
              <w:end w:val="single" w:sz="12" w:space="0" w:color="000000"/>
            </w:tcBorders>
            <w:shd w:fill="E6E6E6" w:val="clear"/>
          </w:tcPr>
          <w:p>
            <w:pPr>
              <w:pStyle w:val="BodyText2"/>
              <w:widowControl/>
              <w:tabs>
                <w:tab w:val="clear" w:pos="720"/>
                <w:tab w:val="decimal" w:pos="522" w:leader="none"/>
              </w:tabs>
              <w:spacing w:before="60" w:after="0"/>
              <w:ind w:start="0" w:end="0"/>
              <w:rPr/>
            </w:pPr>
            <w:r>
              <w:rPr/>
              <w:t>41</w:t>
            </w:r>
          </w:p>
        </w:tc>
        <w:tc>
          <w:tcPr>
            <w:tcW w:w="1050" w:type="dxa"/>
            <w:tcBorders>
              <w:start w:val="single" w:sz="12" w:space="0" w:color="000000"/>
              <w:bottom w:val="single" w:sz="12" w:space="0" w:color="000000"/>
              <w:end w:val="single" w:sz="12" w:space="0" w:color="000000"/>
            </w:tcBorders>
          </w:tcPr>
          <w:p>
            <w:pPr>
              <w:pStyle w:val="BodyText2"/>
              <w:widowControl/>
              <w:tabs>
                <w:tab w:val="clear" w:pos="720"/>
                <w:tab w:val="decimal" w:pos="522" w:leader="none"/>
              </w:tabs>
              <w:spacing w:before="60" w:after="0"/>
              <w:ind w:start="0" w:end="0"/>
              <w:rPr/>
            </w:pPr>
            <w:r>
              <w:rPr/>
              <w:t>145</w:t>
            </w:r>
          </w:p>
        </w:tc>
      </w:tr>
    </w:tbl>
    <w:p>
      <w:pPr>
        <w:pStyle w:val="Heading1"/>
        <w:widowControl/>
        <w:spacing w:before="480" w:after="0"/>
        <w:ind w:hanging="0" w:start="0"/>
        <w:rPr/>
      </w:pPr>
      <w:bookmarkStart w:id="14" w:name="__RefHeading___Toc513004249"/>
      <w:bookmarkEnd w:id="14"/>
      <w:r>
        <w:rPr/>
        <w:t>III.</w:t>
        <w:tab/>
        <w:t>Detailed Imbalance Data</w:t>
      </w:r>
    </w:p>
    <w:p>
      <w:pPr>
        <w:pStyle w:val="BodyText1"/>
        <w:widowControl/>
        <w:rPr/>
      </w:pPr>
      <w:r>
        <w:rPr/>
        <w:t>Appendix A shows the imbalance detail for each balancing entity for each OFO day and the three days prior to the OFO.</w:t>
      </w:r>
      <w:r>
        <w:rPr>
          <w:rStyle w:val="FootnoteCharacters"/>
          <w:rStyle w:val="FootnoteReference"/>
          <w:sz w:val="24"/>
        </w:rPr>
        <w:footnoteReference w:id="8"/>
      </w:r>
      <w:r>
        <w:rPr/>
        <w:t xml:space="preserve">  This includes the daily supply, usage and imbalance quantities based on billing data.</w:t>
      </w:r>
      <w:r>
        <w:rPr>
          <w:rStyle w:val="FootnoteCharacters"/>
          <w:rStyle w:val="FootnoteReference"/>
          <w:sz w:val="24"/>
        </w:rPr>
        <w:footnoteReference w:id="9"/>
      </w:r>
      <w:r>
        <w:rPr/>
        <w:t xml:space="preserve">  The three types of balancing entities and the data elements shown in the tables are also described.</w:t>
      </w:r>
    </w:p>
    <w:p>
      <w:pPr>
        <w:pStyle w:val="BodyText1"/>
        <w:widowControl/>
        <w:rPr/>
      </w:pPr>
      <w:r>
        <w:rPr/>
        <w:t>Appendix A also shows which entities were targeted for customer-specific OFOs and which entities met the following four criteria for significant contributors to each OFO event:</w:t>
      </w:r>
    </w:p>
    <w:p>
      <w:pPr>
        <w:pStyle w:val="Bullet2"/>
        <w:widowControl/>
        <w:numPr>
          <w:ilvl w:val="0"/>
          <w:numId w:val="10"/>
        </w:numPr>
        <w:tabs>
          <w:tab w:val="clear" w:pos="720"/>
          <w:tab w:val="left" w:pos="792" w:leader="none"/>
        </w:tabs>
        <w:rPr>
          <w:sz w:val="24"/>
        </w:rPr>
      </w:pPr>
      <w:r>
        <w:rPr>
          <w:sz w:val="24"/>
        </w:rPr>
        <w:t>Total imbalance on 3-prior days exceeds 10 percent and 5,000 Dth.  (This definition of significant contributor is specified in Section B.3.b of the OFO Settlement.</w:t>
      </w:r>
      <w:r>
        <w:rPr>
          <w:rStyle w:val="FootnoteCharacters"/>
          <w:rStyle w:val="FootnoteReference"/>
          <w:sz w:val="24"/>
        </w:rPr>
        <w:footnoteReference w:id="10"/>
      </w:r>
      <w:r>
        <w:rPr>
          <w:sz w:val="24"/>
        </w:rPr>
        <w:t>)</w:t>
      </w:r>
    </w:p>
    <w:p>
      <w:pPr>
        <w:pStyle w:val="Bullet2"/>
        <w:widowControl/>
        <w:numPr>
          <w:ilvl w:val="0"/>
          <w:numId w:val="10"/>
        </w:numPr>
        <w:tabs>
          <w:tab w:val="clear" w:pos="720"/>
          <w:tab w:val="left" w:pos="792" w:leader="none"/>
        </w:tabs>
        <w:rPr>
          <w:sz w:val="24"/>
        </w:rPr>
      </w:pPr>
      <w:r>
        <w:rPr>
          <w:sz w:val="24"/>
        </w:rPr>
        <w:t xml:space="preserve">Total imbalance on 3-prior days exceeds 5,000 Dth.  </w:t>
      </w:r>
    </w:p>
    <w:p>
      <w:pPr>
        <w:pStyle w:val="Bullet2"/>
        <w:widowControl/>
        <w:numPr>
          <w:ilvl w:val="0"/>
          <w:numId w:val="10"/>
        </w:numPr>
        <w:tabs>
          <w:tab w:val="clear" w:pos="720"/>
          <w:tab w:val="left" w:pos="792" w:leader="none"/>
        </w:tabs>
        <w:rPr>
          <w:sz w:val="24"/>
        </w:rPr>
      </w:pPr>
      <w:r>
        <w:rPr>
          <w:sz w:val="24"/>
        </w:rPr>
        <w:t xml:space="preserve">Total imbalance on 3-prior days exceeds 10 percent of usage.  </w:t>
      </w:r>
    </w:p>
    <w:p>
      <w:pPr>
        <w:pStyle w:val="Bullet2"/>
        <w:widowControl/>
        <w:numPr>
          <w:ilvl w:val="0"/>
          <w:numId w:val="10"/>
        </w:numPr>
        <w:tabs>
          <w:tab w:val="clear" w:pos="720"/>
          <w:tab w:val="left" w:pos="792" w:leader="none"/>
        </w:tabs>
        <w:rPr>
          <w:sz w:val="24"/>
        </w:rPr>
      </w:pPr>
      <w:r>
        <w:rPr>
          <w:sz w:val="24"/>
        </w:rPr>
        <w:t>During a Customer-Specific OFO, both the imbalance and the supply increase during a high inventory OFO (or decrease during a low inventory OFO) by over 5,000 Dth on the OFO day.</w:t>
      </w:r>
    </w:p>
    <w:p>
      <w:pPr>
        <w:pStyle w:val="BodyText1"/>
        <w:widowControl/>
        <w:rPr/>
      </w:pPr>
      <w:r>
        <w:rPr/>
        <w:t xml:space="preserve">The last three measures are added to provide more information for evaluating which entities may be contributing to an OFO event.   </w:t>
      </w:r>
    </w:p>
    <w:p>
      <w:pPr>
        <w:pStyle w:val="BodyText1"/>
        <w:widowControl/>
        <w:rPr/>
      </w:pPr>
      <w:r>
        <w:rPr/>
        <w:t>Appendix B contains detailed data for each OFO event for pipeline imbalances, net market center imbalances, pipeline balancing provided by allocated “balancing” storage, and pipeline inventory levels based on operating data.</w:t>
      </w:r>
      <w:r>
        <w:rPr>
          <w:rStyle w:val="FootnoteCharacters"/>
          <w:rStyle w:val="FootnoteReference"/>
          <w:sz w:val="24"/>
        </w:rPr>
        <w:footnoteReference w:id="11"/>
      </w:r>
      <w:r>
        <w:rPr/>
        <w:t xml:space="preserve">  Also included is a full description of each data element shown in the tables.</w:t>
      </w:r>
    </w:p>
    <w:p>
      <w:pPr>
        <w:pStyle w:val="Heading1"/>
        <w:widowControl/>
        <w:ind w:hanging="0" w:start="0"/>
        <w:rPr/>
      </w:pPr>
      <w:bookmarkStart w:id="15" w:name="__RefHeading___Toc513004250"/>
      <w:bookmarkEnd w:id="15"/>
      <w:r>
        <w:rPr/>
        <w:t>IV.</w:t>
        <w:tab/>
        <w:t>Discussion and recommendations</w:t>
      </w:r>
    </w:p>
    <w:p>
      <w:pPr>
        <w:pStyle w:val="BodyText1"/>
        <w:widowControl/>
        <w:rPr/>
      </w:pPr>
      <w:r>
        <w:rPr/>
        <w:t>This section of the OFO Report provides PG&amp;E’s comments and observations of the data presented, and also offers PG&amp;E’s recommendations for possible change.</w:t>
      </w:r>
      <w:r>
        <w:rPr>
          <w:rStyle w:val="FootnoteCharacters"/>
          <w:rStyle w:val="FootnoteReference"/>
          <w:sz w:val="24"/>
        </w:rPr>
        <w:footnoteReference w:id="12"/>
      </w:r>
      <w:r>
        <w:rPr/>
        <w:t xml:space="preserve"> </w:t>
      </w:r>
    </w:p>
    <w:p>
      <w:pPr>
        <w:pStyle w:val="Heading2"/>
        <w:widowControl/>
        <w:rPr/>
      </w:pPr>
      <w:bookmarkStart w:id="16" w:name="__RefHeading___Toc513004251"/>
      <w:r>
        <w:rPr/>
        <w:t>A.</w:t>
        <w:tab/>
        <w:t>Drivers of OFO Events</w:t>
      </w:r>
      <w:bookmarkEnd w:id="16"/>
      <w:r>
        <w:rPr/>
        <w:t xml:space="preserve"> </w:t>
      </w:r>
    </w:p>
    <w:p>
      <w:pPr>
        <w:pStyle w:val="BodyText2"/>
        <w:widowControl/>
        <w:rPr/>
      </w:pPr>
      <w:r>
        <w:rPr/>
        <w:t>The operational data for the quarter, contained in Appendix B, reveals several trends that have been previously identified in the prior three quarterly reports.  While each OFO event has unique operational circumstances that led to the pipeline inventory being forecast outside the operating limits, the data shows several conditions that have been common factors leading to OFOs.  The conditions that most frequently have been identified as prominent factors leading to an OFO over the past year include:</w:t>
      </w:r>
    </w:p>
    <w:p>
      <w:pPr>
        <w:pStyle w:val="BodyText2"/>
        <w:widowControl/>
        <w:numPr>
          <w:ilvl w:val="0"/>
          <w:numId w:val="3"/>
        </w:numPr>
        <w:tabs>
          <w:tab w:val="clear" w:pos="720"/>
          <w:tab w:val="left" w:pos="1800" w:leader="none"/>
        </w:tabs>
        <w:ind w:hanging="360" w:start="1800" w:end="0"/>
        <w:rPr/>
      </w:pPr>
      <w:r>
        <w:rPr/>
        <w:t>A large total customer imbalance, greater than 100 MMcf</w:t>
      </w:r>
      <w:r>
        <w:rPr>
          <w:rStyle w:val="FootnoteCharacters"/>
          <w:rStyle w:val="FootnoteReference"/>
          <w:sz w:val="24"/>
        </w:rPr>
        <w:footnoteReference w:id="13"/>
      </w:r>
      <w:r>
        <w:rPr/>
        <w:t>, created on at least one day during the three days prior to an OFO.</w:t>
      </w:r>
    </w:p>
    <w:p>
      <w:pPr>
        <w:pStyle w:val="BodyText2"/>
        <w:widowControl/>
        <w:numPr>
          <w:ilvl w:val="0"/>
          <w:numId w:val="3"/>
        </w:numPr>
        <w:tabs>
          <w:tab w:val="clear" w:pos="720"/>
          <w:tab w:val="left" w:pos="1800" w:leader="none"/>
        </w:tabs>
        <w:ind w:hanging="360" w:start="1800" w:end="0"/>
        <w:rPr/>
      </w:pPr>
      <w:r>
        <w:rPr/>
        <w:t>The pipeline inventory leading into the days prior to an OFO already at or near the pipeline inventory limit.</w:t>
      </w:r>
    </w:p>
    <w:p>
      <w:pPr>
        <w:pStyle w:val="BodyText2"/>
        <w:widowControl/>
        <w:rPr/>
      </w:pPr>
      <w:r>
        <w:rPr/>
        <w:t xml:space="preserve">Additionally, especially during the past two quarters, pipeline imbalances that were largely attributed to Core Load forecast error appeared to contribute to a number of OFO events.  This forecast error has been associated with sudden, dramatic weather and temperature changes.  </w:t>
      </w:r>
    </w:p>
    <w:p>
      <w:pPr>
        <w:pStyle w:val="BodyText2"/>
        <w:widowControl/>
        <w:rPr>
          <w:i/>
          <w:i/>
          <w:iCs/>
        </w:rPr>
      </w:pPr>
      <w:r>
        <w:rPr>
          <w:b/>
        </w:rPr>
        <w:t>Recommendation</w:t>
      </w:r>
      <w:r>
        <w:rPr/>
        <w:t>:  PG&amp;E will maintain the existing procedures and provisions agreed to in the OFO Settlement.  PG&amp;E will continue to monitor and review future data.</w:t>
      </w:r>
    </w:p>
    <w:p>
      <w:pPr>
        <w:pStyle w:val="Heading2"/>
        <w:widowControl/>
        <w:rPr/>
      </w:pPr>
      <w:bookmarkStart w:id="17" w:name="__RefHeading___Toc513004252"/>
      <w:bookmarkEnd w:id="17"/>
      <w:r>
        <w:rPr/>
        <w:t>B.</w:t>
        <w:tab/>
        <w:t>Market Center Imbalances</w:t>
      </w:r>
    </w:p>
    <w:p>
      <w:pPr>
        <w:pStyle w:val="BodyText2"/>
        <w:widowControl/>
        <w:rPr/>
      </w:pPr>
      <w:r>
        <w:rPr/>
        <w:t>As shown in Appendix B, the Market Center had minor imbalances prior to two OFOs during the quarter.  However, these were not significant factors in either of these OFO events.  In the first case the imbalance actually helped lower the inventory prior to the February 5</w:t>
      </w:r>
      <w:r>
        <w:rPr>
          <w:vertAlign w:val="superscript"/>
        </w:rPr>
        <w:t>th</w:t>
      </w:r>
      <w:r>
        <w:rPr/>
        <w:t xml:space="preserve">  High Inventory OFO.  In the second case the imbalance occurred three days prior to the February 21</w:t>
      </w:r>
      <w:r>
        <w:rPr>
          <w:vertAlign w:val="superscript"/>
        </w:rPr>
        <w:t>st</w:t>
      </w:r>
      <w:r>
        <w:rPr/>
        <w:t xml:space="preserve"> OFO, when the inventory was still in the middle of the pipeline limits. </w:t>
      </w:r>
    </w:p>
    <w:p>
      <w:pPr>
        <w:pStyle w:val="BodyText2"/>
        <w:widowControl/>
        <w:rPr/>
      </w:pPr>
      <w:r>
        <w:rPr/>
        <w:t>Market Center activity is managed on a daily basis utilizing available storage assets, and does not rely on either pipeline inventory or storage allocated to pipeline balancing.  A Market Center imbalance occurs when the net contractual Market Center activity exceeds the net physical storage capacity available to perform Market Center activity.  The Market Center contractual net position is the sum of the Parks and Repays minus the sum of the Lend and Unparks.  To calculate the imbalance, this net position is compared to the storage assets available for Market Center activity each day.  The small imbalances created this quarter were a result of nonperformance of expected nominations during the gas supply scheduling process.</w:t>
      </w:r>
    </w:p>
    <w:p>
      <w:pPr>
        <w:pStyle w:val="BodyText2"/>
        <w:widowControl/>
        <w:rPr/>
      </w:pPr>
      <w:r>
        <w:rPr>
          <w:b/>
        </w:rPr>
        <w:t>Recommendation</w:t>
      </w:r>
      <w:r>
        <w:rPr/>
        <w:t>:  Continue to monitor Market Center imbalances as required by the OFO settlement.</w:t>
      </w:r>
    </w:p>
    <w:p>
      <w:pPr>
        <w:pStyle w:val="Heading2"/>
        <w:widowControl/>
        <w:rPr/>
      </w:pPr>
      <w:bookmarkStart w:id="18" w:name="__RefHeading___Toc513004253"/>
      <w:bookmarkEnd w:id="18"/>
      <w:r>
        <w:rPr/>
        <w:t>C.</w:t>
        <w:tab/>
        <w:t>Effectiveness of Customer-Specific versus System-Wide OFOs</w:t>
      </w:r>
    </w:p>
    <w:p>
      <w:pPr>
        <w:pStyle w:val="BodyText2"/>
        <w:spacing w:before="180" w:after="0"/>
        <w:rPr/>
      </w:pPr>
      <w:r>
        <w:rPr/>
        <w:t xml:space="preserve">Table 6 shows the aggregate OFO Day imbalances for all balancing entities, using the data in Appendix A.  There were only seven OFOs and three customer-specific OFOs during the quarter.  This limited data does not enable conclusive trends to be identified.  However, this table does reveal a better response to system-wide OFOs compared to customer-specific OFOs for Low Inventory OFOs.  This result is expected to some degree since system-wide OFOs affect all customers.  </w:t>
      </w:r>
    </w:p>
    <w:p>
      <w:pPr>
        <w:pStyle w:val="BodyText2"/>
        <w:spacing w:before="180" w:after="0"/>
        <w:rPr/>
      </w:pPr>
      <w:r>
        <w:rPr/>
        <w:t>Additionally, the response to the one high inventory customer-specific OFO was greatly influenced by the receipt point capacity allocation event that occurred on the same day.  As discussed earlier in this report, the receipt point capacity allocation reduced the overall supply receipts by about 350 MMcf.  This “trimming” was the primary driver in reducing the pipeline inventory during this customer-specific OFO.</w:t>
      </w:r>
    </w:p>
    <w:p>
      <w:pPr>
        <w:pStyle w:val="TableHeading1"/>
        <w:rPr/>
      </w:pPr>
      <w:bookmarkStart w:id="19" w:name="__RefHeading___Toc504897736"/>
      <w:bookmarkEnd w:id="19"/>
      <w:r>
        <w:rPr/>
        <w:t>Table 6:   Net OFO Day Total Customer Imbalances</w:t>
      </w:r>
    </w:p>
    <w:tbl>
      <w:tblPr>
        <w:tblW w:w="7650" w:type="dxa"/>
        <w:jc w:val="start"/>
        <w:tblInd w:w="1188" w:type="dxa"/>
        <w:tblLayout w:type="fixed"/>
        <w:tblCellMar>
          <w:top w:w="0" w:type="dxa"/>
          <w:start w:w="108" w:type="dxa"/>
          <w:bottom w:w="0" w:type="dxa"/>
          <w:end w:w="108" w:type="dxa"/>
        </w:tblCellMar>
      </w:tblPr>
      <w:tblGrid>
        <w:gridCol w:w="1036"/>
        <w:gridCol w:w="944"/>
        <w:gridCol w:w="1892"/>
        <w:gridCol w:w="988"/>
        <w:gridCol w:w="1080"/>
        <w:gridCol w:w="1710"/>
      </w:tblGrid>
      <w:tr>
        <w:trPr/>
        <w:tc>
          <w:tcPr>
            <w:tcW w:w="7650" w:type="dxa"/>
            <w:gridSpan w:val="6"/>
            <w:tcBorders>
              <w:top w:val="single" w:sz="12" w:space="0" w:color="000000"/>
              <w:start w:val="single" w:sz="12" w:space="0" w:color="000000"/>
              <w:bottom w:val="single" w:sz="6" w:space="0" w:color="000000"/>
              <w:end w:val="single" w:sz="12" w:space="0" w:color="000000"/>
            </w:tcBorders>
            <w:shd w:fill="E6E6E6" w:val="clear"/>
          </w:tcPr>
          <w:p>
            <w:pPr>
              <w:pStyle w:val="Normal"/>
              <w:ind w:start="-198" w:end="0"/>
              <w:jc w:val="center"/>
              <w:rPr>
                <w:b/>
                <w:sz w:val="24"/>
              </w:rPr>
            </w:pPr>
            <w:r>
              <w:rPr>
                <w:b/>
                <w:sz w:val="24"/>
              </w:rPr>
              <w:t>High Inventory OFO Events</w:t>
            </w:r>
          </w:p>
        </w:tc>
      </w:tr>
      <w:tr>
        <w:trPr/>
        <w:tc>
          <w:tcPr>
            <w:tcW w:w="3872" w:type="dxa"/>
            <w:gridSpan w:val="3"/>
            <w:tcBorders>
              <w:top w:val="single" w:sz="6" w:space="0" w:color="000000"/>
              <w:start w:val="single" w:sz="12" w:space="0" w:color="000000"/>
              <w:bottom w:val="single" w:sz="6" w:space="0" w:color="000000"/>
              <w:end w:val="single" w:sz="6" w:space="0" w:color="000000"/>
            </w:tcBorders>
            <w:shd w:fill="E6E6E6" w:val="clear"/>
          </w:tcPr>
          <w:p>
            <w:pPr>
              <w:pStyle w:val="Normal"/>
              <w:ind w:start="-198" w:end="0"/>
              <w:jc w:val="center"/>
              <w:rPr>
                <w:sz w:val="24"/>
              </w:rPr>
            </w:pPr>
            <w:r>
              <w:rPr>
                <w:sz w:val="24"/>
              </w:rPr>
              <w:t>System-Wide OFOs</w:t>
            </w:r>
          </w:p>
        </w:tc>
        <w:tc>
          <w:tcPr>
            <w:tcW w:w="3778" w:type="dxa"/>
            <w:gridSpan w:val="3"/>
            <w:tcBorders>
              <w:top w:val="single" w:sz="6" w:space="0" w:color="000000"/>
              <w:start w:val="single" w:sz="6" w:space="0" w:color="000000"/>
              <w:bottom w:val="single" w:sz="6" w:space="0" w:color="000000"/>
              <w:end w:val="single" w:sz="12" w:space="0" w:color="000000"/>
            </w:tcBorders>
            <w:shd w:fill="E6E6E6" w:val="clear"/>
          </w:tcPr>
          <w:p>
            <w:pPr>
              <w:pStyle w:val="Normal"/>
              <w:jc w:val="center"/>
              <w:rPr>
                <w:sz w:val="24"/>
              </w:rPr>
            </w:pPr>
            <w:r>
              <w:rPr>
                <w:sz w:val="24"/>
              </w:rPr>
              <w:t>Customer-Specific OFOs</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ind w:start="-198" w:end="0"/>
              <w:jc w:val="center"/>
              <w:rPr>
                <w:sz w:val="24"/>
              </w:rPr>
            </w:pPr>
            <w:r>
              <w:rPr>
                <w:sz w:val="24"/>
              </w:rPr>
              <w:br/>
              <w:t>Date</w:t>
            </w:r>
          </w:p>
        </w:tc>
        <w:tc>
          <w:tcPr>
            <w:tcW w:w="944"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Toler.</w:t>
            </w:r>
          </w:p>
          <w:p>
            <w:pPr>
              <w:pStyle w:val="Normal"/>
              <w:jc w:val="center"/>
              <w:rPr>
                <w:sz w:val="24"/>
              </w:rPr>
            </w:pPr>
            <w:r>
              <w:rPr>
                <w:sz w:val="24"/>
              </w:rPr>
              <w:t>Band</w:t>
            </w:r>
          </w:p>
        </w:tc>
        <w:tc>
          <w:tcPr>
            <w:tcW w:w="1892" w:type="dxa"/>
            <w:tcBorders>
              <w:top w:val="single" w:sz="6" w:space="0" w:color="000000"/>
              <w:start w:val="single" w:sz="6" w:space="0" w:color="000000"/>
              <w:bottom w:val="single" w:sz="6" w:space="0" w:color="000000"/>
              <w:end w:val="double" w:sz="12" w:space="0" w:color="000000"/>
            </w:tcBorders>
          </w:tcPr>
          <w:p>
            <w:pPr>
              <w:pStyle w:val="Normal"/>
              <w:jc w:val="center"/>
              <w:rPr>
                <w:sz w:val="24"/>
              </w:rPr>
            </w:pPr>
            <w:r>
              <w:rPr>
                <w:sz w:val="24"/>
              </w:rPr>
              <w:t>Total Net Imbalance, Dth</w:t>
            </w:r>
          </w:p>
        </w:tc>
        <w:tc>
          <w:tcPr>
            <w:tcW w:w="988" w:type="dxa"/>
            <w:tcBorders>
              <w:top w:val="single" w:sz="6" w:space="0" w:color="000000"/>
              <w:bottom w:val="single" w:sz="6" w:space="0" w:color="000000"/>
              <w:end w:val="single" w:sz="6" w:space="0" w:color="000000"/>
            </w:tcBorders>
          </w:tcPr>
          <w:p>
            <w:pPr>
              <w:pStyle w:val="Normal"/>
              <w:jc w:val="center"/>
              <w:rPr>
                <w:sz w:val="24"/>
              </w:rPr>
            </w:pPr>
            <w:r>
              <w:rPr>
                <w:sz w:val="24"/>
              </w:rPr>
              <w:br/>
              <w:t>Date</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Toler.</w:t>
            </w:r>
          </w:p>
          <w:p>
            <w:pPr>
              <w:pStyle w:val="Normal"/>
              <w:jc w:val="center"/>
              <w:rPr>
                <w:sz w:val="24"/>
              </w:rPr>
            </w:pPr>
            <w:r>
              <w:rPr>
                <w:sz w:val="24"/>
              </w:rPr>
              <w:t>Band</w:t>
            </w:r>
          </w:p>
        </w:tc>
        <w:tc>
          <w:tcPr>
            <w:tcW w:w="1710" w:type="dxa"/>
            <w:tcBorders>
              <w:top w:val="single" w:sz="6" w:space="0" w:color="000000"/>
              <w:start w:val="single" w:sz="6" w:space="0" w:color="000000"/>
              <w:bottom w:val="single" w:sz="6" w:space="0" w:color="000000"/>
              <w:end w:val="single" w:sz="12" w:space="0" w:color="000000"/>
            </w:tcBorders>
          </w:tcPr>
          <w:p>
            <w:pPr>
              <w:pStyle w:val="Normal"/>
              <w:jc w:val="center"/>
              <w:rPr>
                <w:sz w:val="24"/>
              </w:rPr>
            </w:pPr>
            <w:r>
              <w:rPr>
                <w:sz w:val="24"/>
              </w:rPr>
              <w:t>Total Net Imbalance, Dth</w:t>
            </w:r>
          </w:p>
        </w:tc>
      </w:tr>
      <w:tr>
        <w:trPr/>
        <w:tc>
          <w:tcPr>
            <w:tcW w:w="1036" w:type="dxa"/>
            <w:tcBorders>
              <w:start w:val="single" w:sz="12" w:space="0" w:color="000000"/>
              <w:bottom w:val="single" w:sz="6" w:space="0" w:color="000000"/>
              <w:end w:val="single" w:sz="6" w:space="0" w:color="000000"/>
            </w:tcBorders>
          </w:tcPr>
          <w:p>
            <w:pPr>
              <w:pStyle w:val="Normal"/>
              <w:spacing w:before="20" w:after="20"/>
              <w:jc w:val="center"/>
              <w:rPr>
                <w:sz w:val="22"/>
              </w:rPr>
            </w:pPr>
            <w:r>
              <w:rPr>
                <w:sz w:val="22"/>
              </w:rPr>
              <w:t>Feb 5</w:t>
            </w:r>
          </w:p>
        </w:tc>
        <w:tc>
          <w:tcPr>
            <w:tcW w:w="944" w:type="dxa"/>
            <w:tcBorders>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0%</w:t>
            </w:r>
          </w:p>
        </w:tc>
        <w:tc>
          <w:tcPr>
            <w:tcW w:w="1892" w:type="dxa"/>
            <w:tcBorders>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+130,606</w:t>
            </w:r>
          </w:p>
        </w:tc>
        <w:tc>
          <w:tcPr>
            <w:tcW w:w="988" w:type="dxa"/>
            <w:tcBorders>
              <w:bottom w:val="single" w:sz="6" w:space="0" w:color="000000"/>
              <w:end w:val="single" w:sz="6" w:space="0" w:color="000000"/>
            </w:tcBorders>
          </w:tcPr>
          <w:p>
            <w:pPr>
              <w:pStyle w:val="Normal"/>
              <w:spacing w:before="20" w:after="20"/>
              <w:jc w:val="center"/>
              <w:rPr>
                <w:sz w:val="22"/>
              </w:rPr>
            </w:pPr>
            <w:r>
              <w:rPr>
                <w:sz w:val="22"/>
              </w:rPr>
              <w:t>Mar 20</w:t>
            </w:r>
          </w:p>
        </w:tc>
        <w:tc>
          <w:tcPr>
            <w:tcW w:w="1080" w:type="dxa"/>
            <w:tcBorders>
              <w:start w:val="single" w:sz="6" w:space="0" w:color="000000"/>
              <w:bottom w:val="single" w:sz="6" w:space="0" w:color="000000"/>
              <w:end w:val="single" w:sz="6" w:space="0" w:color="000000"/>
            </w:tcBorders>
          </w:tcPr>
          <w:p>
            <w:pPr>
              <w:pStyle w:val="Normal"/>
              <w:tabs>
                <w:tab w:val="clear" w:pos="720"/>
                <w:tab w:val="decimal" w:pos="432" w:leader="none"/>
              </w:tabs>
              <w:spacing w:before="20" w:after="20"/>
              <w:rPr>
                <w:sz w:val="22"/>
              </w:rPr>
            </w:pPr>
            <w:r>
              <w:rPr>
                <w:sz w:val="22"/>
              </w:rPr>
              <w:t>1%</w:t>
            </w:r>
          </w:p>
        </w:tc>
        <w:tc>
          <w:tcPr>
            <w:tcW w:w="1710" w:type="dxa"/>
            <w:tcBorders>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-193,784</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Mar 21</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1%</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-28,017</w:t>
            </w:r>
          </w:p>
        </w:tc>
        <w:tc>
          <w:tcPr>
            <w:tcW w:w="988"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jc w:val="center"/>
              <w:rPr>
                <w:sz w:val="22"/>
              </w:rPr>
            </w:pPr>
            <w:r>
              <w:rPr>
                <w:sz w:val="22"/>
              </w:rPr>
              <w:t>Mar 22</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ind w:end="72"/>
              <w:rPr>
                <w:sz w:val="22"/>
              </w:rPr>
            </w:pPr>
            <w:r>
              <w:rPr>
                <w:sz w:val="22"/>
              </w:rPr>
              <w:t xml:space="preserve">3% </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sz w:val="22"/>
              </w:rPr>
            </w:pPr>
            <w:r>
              <w:rPr>
                <w:sz w:val="22"/>
              </w:rPr>
              <w:t>+35,908</w:t>
            </w:r>
          </w:p>
        </w:tc>
        <w:tc>
          <w:tcPr>
            <w:tcW w:w="988" w:type="dxa"/>
            <w:tcBorders>
              <w:top w:val="single" w:sz="6" w:space="0" w:color="000000"/>
              <w:bottom w:val="single" w:sz="6" w:space="0" w:color="000000"/>
              <w:end w:val="single" w:sz="6" w:space="0" w:color="000000"/>
            </w:tcBorders>
          </w:tcPr>
          <w:p>
            <w:pPr>
              <w:pStyle w:val="Normal"/>
              <w:snapToGrid w:val="false"/>
              <w:spacing w:before="20" w:after="20"/>
              <w:jc w:val="center"/>
              <w:rPr>
                <w:sz w:val="22"/>
              </w:rPr>
            </w:pPr>
            <w:r>
              <w:rPr>
                <w:sz w:val="22"/>
              </w:rPr>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napToGrid w:val="false"/>
              <w:spacing w:before="20" w:after="20"/>
              <w:rPr>
                <w:sz w:val="22"/>
              </w:rPr>
            </w:pPr>
            <w:r>
              <w:rPr>
                <w:sz w:val="22"/>
              </w:rPr>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napToGrid w:val="false"/>
              <w:spacing w:before="20" w:after="20"/>
              <w:rPr>
                <w:sz w:val="22"/>
              </w:rPr>
            </w:pPr>
            <w:r>
              <w:rPr>
                <w:sz w:val="22"/>
              </w:rPr>
            </w:r>
          </w:p>
        </w:tc>
      </w:tr>
      <w:tr>
        <w:trPr/>
        <w:tc>
          <w:tcPr>
            <w:tcW w:w="1980" w:type="dxa"/>
            <w:gridSpan w:val="2"/>
            <w:tcBorders>
              <w:top w:val="single" w:sz="6" w:space="0" w:color="000000"/>
              <w:start w:val="single" w:sz="12" w:space="0" w:color="000000"/>
              <w:bottom w:val="single" w:sz="6" w:space="0" w:color="000000"/>
              <w:end w:val="single" w:sz="6" w:space="0" w:color="000000"/>
            </w:tcBorders>
          </w:tcPr>
          <w:p>
            <w:pPr>
              <w:pStyle w:val="Normal"/>
              <w:spacing w:before="20" w:after="20"/>
              <w:ind w:end="432"/>
              <w:rPr>
                <w:b/>
                <w:sz w:val="22"/>
              </w:rPr>
            </w:pPr>
            <w:r>
              <w:rPr>
                <w:b/>
                <w:sz w:val="22"/>
              </w:rPr>
              <w:t>Average</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rPr>
                <w:b/>
                <w:sz w:val="22"/>
              </w:rPr>
            </w:pPr>
            <w:r>
              <w:rPr>
                <w:b/>
                <w:sz w:val="22"/>
              </w:rPr>
              <w:t>+46,165</w:t>
            </w:r>
          </w:p>
        </w:tc>
        <w:tc>
          <w:tcPr>
            <w:tcW w:w="2068" w:type="dxa"/>
            <w:gridSpan w:val="2"/>
            <w:tcBorders>
              <w:top w:val="single" w:sz="6" w:space="0" w:color="000000"/>
              <w:bottom w:val="single" w:sz="6" w:space="0" w:color="000000"/>
              <w:end w:val="single" w:sz="6" w:space="0" w:color="000000"/>
            </w:tcBorders>
          </w:tcPr>
          <w:p>
            <w:pPr>
              <w:pStyle w:val="Normal"/>
              <w:spacing w:before="20" w:after="20"/>
              <w:ind w:end="432"/>
              <w:rPr>
                <w:b/>
                <w:sz w:val="22"/>
              </w:rPr>
            </w:pPr>
            <w:r>
              <w:rPr>
                <w:b/>
                <w:sz w:val="22"/>
              </w:rPr>
              <w:t>Average</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b/>
                <w:sz w:val="22"/>
              </w:rPr>
            </w:pPr>
            <w:r>
              <w:rPr>
                <w:b/>
                <w:sz w:val="22"/>
              </w:rPr>
              <w:t>-193,784</w:t>
            </w:r>
          </w:p>
        </w:tc>
      </w:tr>
      <w:tr>
        <w:trPr/>
        <w:tc>
          <w:tcPr>
            <w:tcW w:w="7650" w:type="dxa"/>
            <w:gridSpan w:val="6"/>
            <w:tcBorders>
              <w:top w:val="single" w:sz="6" w:space="0" w:color="000000"/>
              <w:start w:val="single" w:sz="12" w:space="0" w:color="000000"/>
              <w:bottom w:val="single" w:sz="6" w:space="0" w:color="000000"/>
              <w:end w:val="single" w:sz="12" w:space="0" w:color="000000"/>
            </w:tcBorders>
            <w:shd w:fill="E6E6E6" w:val="clear"/>
          </w:tcPr>
          <w:p>
            <w:pPr>
              <w:pStyle w:val="Normal"/>
              <w:ind w:start="-198" w:end="0"/>
              <w:jc w:val="center"/>
              <w:rPr>
                <w:b/>
                <w:sz w:val="24"/>
              </w:rPr>
            </w:pPr>
            <w:r>
              <w:rPr>
                <w:b/>
                <w:sz w:val="24"/>
              </w:rPr>
              <w:t>Low Inventory OFO Events</w:t>
            </w:r>
          </w:p>
        </w:tc>
      </w:tr>
      <w:tr>
        <w:trPr/>
        <w:tc>
          <w:tcPr>
            <w:tcW w:w="3872" w:type="dxa"/>
            <w:gridSpan w:val="3"/>
            <w:tcBorders>
              <w:top w:val="single" w:sz="6" w:space="0" w:color="000000"/>
              <w:start w:val="single" w:sz="12" w:space="0" w:color="000000"/>
              <w:bottom w:val="single" w:sz="6" w:space="0" w:color="000000"/>
              <w:end w:val="single" w:sz="6" w:space="0" w:color="000000"/>
            </w:tcBorders>
            <w:shd w:fill="E6E6E6" w:val="clear"/>
          </w:tcPr>
          <w:p>
            <w:pPr>
              <w:pStyle w:val="Normal"/>
              <w:ind w:start="-198" w:end="0"/>
              <w:jc w:val="center"/>
              <w:rPr>
                <w:sz w:val="24"/>
              </w:rPr>
            </w:pPr>
            <w:r>
              <w:rPr>
                <w:sz w:val="24"/>
              </w:rPr>
              <w:t>System-Wide OFOs</w:t>
            </w:r>
          </w:p>
        </w:tc>
        <w:tc>
          <w:tcPr>
            <w:tcW w:w="3778" w:type="dxa"/>
            <w:gridSpan w:val="3"/>
            <w:tcBorders>
              <w:top w:val="single" w:sz="6" w:space="0" w:color="000000"/>
              <w:start w:val="single" w:sz="6" w:space="0" w:color="000000"/>
              <w:bottom w:val="single" w:sz="6" w:space="0" w:color="000000"/>
              <w:end w:val="single" w:sz="12" w:space="0" w:color="000000"/>
            </w:tcBorders>
            <w:shd w:fill="E6E6E6" w:val="clear"/>
          </w:tcPr>
          <w:p>
            <w:pPr>
              <w:pStyle w:val="Normal"/>
              <w:jc w:val="center"/>
              <w:rPr>
                <w:sz w:val="24"/>
              </w:rPr>
            </w:pPr>
            <w:r>
              <w:rPr>
                <w:sz w:val="24"/>
              </w:rPr>
              <w:t>Customer-Specific OFOs</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ind w:start="-198" w:end="0"/>
              <w:jc w:val="center"/>
              <w:rPr>
                <w:sz w:val="24"/>
              </w:rPr>
            </w:pPr>
            <w:r>
              <w:rPr>
                <w:sz w:val="24"/>
              </w:rPr>
              <w:br/>
              <w:t>Date</w:t>
            </w:r>
          </w:p>
        </w:tc>
        <w:tc>
          <w:tcPr>
            <w:tcW w:w="944"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Toler.</w:t>
            </w:r>
          </w:p>
          <w:p>
            <w:pPr>
              <w:pStyle w:val="Normal"/>
              <w:jc w:val="center"/>
              <w:rPr>
                <w:sz w:val="24"/>
              </w:rPr>
            </w:pPr>
            <w:r>
              <w:rPr>
                <w:sz w:val="24"/>
              </w:rPr>
              <w:t>Band</w:t>
            </w:r>
          </w:p>
        </w:tc>
        <w:tc>
          <w:tcPr>
            <w:tcW w:w="1892" w:type="dxa"/>
            <w:tcBorders>
              <w:top w:val="single" w:sz="6" w:space="0" w:color="000000"/>
              <w:start w:val="single" w:sz="6" w:space="0" w:color="000000"/>
              <w:bottom w:val="single" w:sz="6" w:space="0" w:color="000000"/>
              <w:end w:val="double" w:sz="12" w:space="0" w:color="000000"/>
            </w:tcBorders>
          </w:tcPr>
          <w:p>
            <w:pPr>
              <w:pStyle w:val="Normal"/>
              <w:jc w:val="center"/>
              <w:rPr>
                <w:sz w:val="24"/>
              </w:rPr>
            </w:pPr>
            <w:r>
              <w:rPr>
                <w:sz w:val="24"/>
              </w:rPr>
              <w:t>Total Net Imbalance, Dth</w:t>
            </w:r>
          </w:p>
        </w:tc>
        <w:tc>
          <w:tcPr>
            <w:tcW w:w="988" w:type="dxa"/>
            <w:tcBorders>
              <w:top w:val="single" w:sz="6" w:space="0" w:color="000000"/>
              <w:bottom w:val="single" w:sz="6" w:space="0" w:color="000000"/>
              <w:end w:val="single" w:sz="6" w:space="0" w:color="000000"/>
            </w:tcBorders>
          </w:tcPr>
          <w:p>
            <w:pPr>
              <w:pStyle w:val="Normal"/>
              <w:jc w:val="center"/>
              <w:rPr>
                <w:sz w:val="24"/>
              </w:rPr>
            </w:pPr>
            <w:r>
              <w:rPr>
                <w:sz w:val="24"/>
              </w:rPr>
              <w:br/>
              <w:t>Date</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4"/>
              </w:rPr>
            </w:pPr>
            <w:r>
              <w:rPr>
                <w:sz w:val="24"/>
              </w:rPr>
              <w:t>Toler.</w:t>
            </w:r>
          </w:p>
          <w:p>
            <w:pPr>
              <w:pStyle w:val="Normal"/>
              <w:jc w:val="center"/>
              <w:rPr>
                <w:sz w:val="24"/>
              </w:rPr>
            </w:pPr>
            <w:r>
              <w:rPr>
                <w:sz w:val="24"/>
              </w:rPr>
              <w:t>Band</w:t>
            </w:r>
          </w:p>
        </w:tc>
        <w:tc>
          <w:tcPr>
            <w:tcW w:w="1710" w:type="dxa"/>
            <w:tcBorders>
              <w:top w:val="single" w:sz="6" w:space="0" w:color="000000"/>
              <w:start w:val="single" w:sz="6" w:space="0" w:color="000000"/>
              <w:bottom w:val="single" w:sz="6" w:space="0" w:color="000000"/>
              <w:end w:val="single" w:sz="12" w:space="0" w:color="000000"/>
            </w:tcBorders>
          </w:tcPr>
          <w:p>
            <w:pPr>
              <w:pStyle w:val="Normal"/>
              <w:jc w:val="center"/>
              <w:rPr>
                <w:sz w:val="24"/>
              </w:rPr>
            </w:pPr>
            <w:r>
              <w:rPr>
                <w:sz w:val="24"/>
              </w:rPr>
              <w:t>Total Net Imbalance, Dth</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pacing w:before="20" w:after="20"/>
              <w:ind w:start="-198" w:end="0"/>
              <w:jc w:val="center"/>
              <w:rPr>
                <w:sz w:val="22"/>
              </w:rPr>
            </w:pPr>
            <w:r>
              <w:rPr>
                <w:sz w:val="22"/>
              </w:rPr>
              <w:t>Feb 1</w:t>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pacing w:before="20" w:after="20"/>
              <w:rPr>
                <w:sz w:val="22"/>
              </w:rPr>
            </w:pPr>
            <w:r>
              <w:rPr>
                <w:sz w:val="22"/>
              </w:rPr>
              <w:t>2%</w:t>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pacing w:before="20" w:after="20"/>
              <w:ind w:end="-16"/>
              <w:rPr>
                <w:sz w:val="22"/>
              </w:rPr>
            </w:pPr>
            <w:r>
              <w:rPr>
                <w:sz w:val="22"/>
              </w:rPr>
              <w:t>+212,288</w:t>
            </w:r>
          </w:p>
        </w:tc>
        <w:tc>
          <w:tcPr>
            <w:tcW w:w="988"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Feb 21</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ind w:end="-18"/>
              <w:rPr>
                <w:sz w:val="22"/>
              </w:rPr>
            </w:pPr>
            <w:r>
              <w:rPr>
                <w:sz w:val="22"/>
              </w:rPr>
              <w:t>2%</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+42,676</w:t>
            </w:r>
          </w:p>
        </w:tc>
      </w:tr>
      <w:tr>
        <w:trPr/>
        <w:tc>
          <w:tcPr>
            <w:tcW w:w="1036" w:type="dxa"/>
            <w:tcBorders>
              <w:top w:val="single" w:sz="6" w:space="0" w:color="000000"/>
              <w:start w:val="single" w:sz="12" w:space="0" w:color="000000"/>
              <w:bottom w:val="single" w:sz="6" w:space="0" w:color="000000"/>
              <w:end w:val="single" w:sz="6" w:space="0" w:color="000000"/>
            </w:tcBorders>
          </w:tcPr>
          <w:p>
            <w:pPr>
              <w:pStyle w:val="Normal"/>
              <w:snapToGrid w:val="false"/>
              <w:spacing w:before="20" w:after="20"/>
              <w:ind w:start="-198" w:end="0"/>
              <w:jc w:val="center"/>
              <w:rPr>
                <w:b/>
                <w:sz w:val="22"/>
              </w:rPr>
            </w:pPr>
            <w:r>
              <w:rPr>
                <w:b/>
                <w:sz w:val="22"/>
              </w:rPr>
            </w:r>
          </w:p>
        </w:tc>
        <w:tc>
          <w:tcPr>
            <w:tcW w:w="944"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386" w:leader="none"/>
              </w:tabs>
              <w:snapToGrid w:val="false"/>
              <w:spacing w:before="20" w:after="20"/>
              <w:rPr>
                <w:sz w:val="22"/>
              </w:rPr>
            </w:pPr>
            <w:r>
              <w:rPr>
                <w:sz w:val="22"/>
              </w:rPr>
            </w:r>
          </w:p>
        </w:tc>
        <w:tc>
          <w:tcPr>
            <w:tcW w:w="1892" w:type="dxa"/>
            <w:tcBorders>
              <w:top w:val="single" w:sz="6" w:space="0" w:color="000000"/>
              <w:start w:val="single" w:sz="6" w:space="0" w:color="000000"/>
              <w:bottom w:val="single" w:sz="6" w:space="0" w:color="000000"/>
              <w:end w:val="double" w:sz="12" w:space="0" w:color="000000"/>
            </w:tcBorders>
          </w:tcPr>
          <w:p>
            <w:pPr>
              <w:pStyle w:val="Normal"/>
              <w:tabs>
                <w:tab w:val="clear" w:pos="720"/>
                <w:tab w:val="decimal" w:pos="1242" w:leader="none"/>
              </w:tabs>
              <w:snapToGrid w:val="false"/>
              <w:spacing w:before="20" w:after="20"/>
              <w:ind w:end="-16"/>
              <w:rPr>
                <w:sz w:val="22"/>
              </w:rPr>
            </w:pPr>
            <w:r>
              <w:rPr>
                <w:sz w:val="22"/>
              </w:rPr>
            </w:r>
          </w:p>
        </w:tc>
        <w:tc>
          <w:tcPr>
            <w:tcW w:w="988" w:type="dxa"/>
            <w:tcBorders>
              <w:top w:val="single" w:sz="6" w:space="0" w:color="000000"/>
              <w:bottom w:val="single" w:sz="6" w:space="0" w:color="000000"/>
              <w:end w:val="single" w:sz="6" w:space="0" w:color="000000"/>
            </w:tcBorders>
          </w:tcPr>
          <w:p>
            <w:pPr>
              <w:pStyle w:val="Normal"/>
              <w:spacing w:before="20" w:after="20"/>
              <w:jc w:val="center"/>
              <w:rPr>
                <w:sz w:val="22"/>
              </w:rPr>
            </w:pPr>
            <w:r>
              <w:rPr>
                <w:sz w:val="22"/>
              </w:rPr>
              <w:t>Feb 26</w:t>
            </w:r>
          </w:p>
        </w:tc>
        <w:tc>
          <w:tcPr>
            <w:tcW w:w="1080" w:type="dxa"/>
            <w:tcBorders>
              <w:top w:val="single" w:sz="6" w:space="0" w:color="000000"/>
              <w:start w:val="single" w:sz="6" w:space="0" w:color="000000"/>
              <w:bottom w:val="single" w:sz="6" w:space="0" w:color="000000"/>
              <w:end w:val="single" w:sz="6" w:space="0" w:color="000000"/>
            </w:tcBorders>
          </w:tcPr>
          <w:p>
            <w:pPr>
              <w:pStyle w:val="Normal"/>
              <w:tabs>
                <w:tab w:val="clear" w:pos="720"/>
                <w:tab w:val="decimal" w:pos="432" w:leader="none"/>
              </w:tabs>
              <w:spacing w:before="20" w:after="20"/>
              <w:ind w:end="-18"/>
              <w:rPr>
                <w:sz w:val="22"/>
              </w:rPr>
            </w:pPr>
            <w:r>
              <w:rPr>
                <w:sz w:val="22"/>
              </w:rPr>
              <w:t>2%</w:t>
            </w:r>
          </w:p>
        </w:tc>
        <w:tc>
          <w:tcPr>
            <w:tcW w:w="1710" w:type="dxa"/>
            <w:tcBorders>
              <w:top w:val="single" w:sz="6" w:space="0" w:color="000000"/>
              <w:start w:val="single" w:sz="6" w:space="0" w:color="000000"/>
              <w:bottom w:val="single" w:sz="6" w:space="0" w:color="000000"/>
              <w:end w:val="single" w:sz="12" w:space="0" w:color="000000"/>
            </w:tcBorders>
          </w:tcPr>
          <w:p>
            <w:pPr>
              <w:pStyle w:val="Normal"/>
              <w:tabs>
                <w:tab w:val="clear" w:pos="720"/>
                <w:tab w:val="decimal" w:pos="1152" w:leader="none"/>
              </w:tabs>
              <w:spacing w:before="20" w:after="20"/>
              <w:rPr>
                <w:sz w:val="22"/>
              </w:rPr>
            </w:pPr>
            <w:r>
              <w:rPr>
                <w:sz w:val="22"/>
              </w:rPr>
              <w:t>-175,456</w:t>
            </w:r>
          </w:p>
        </w:tc>
      </w:tr>
      <w:tr>
        <w:trPr/>
        <w:tc>
          <w:tcPr>
            <w:tcW w:w="1980" w:type="dxa"/>
            <w:gridSpan w:val="2"/>
            <w:tcBorders>
              <w:top w:val="single" w:sz="6" w:space="0" w:color="000000"/>
              <w:start w:val="single" w:sz="12" w:space="0" w:color="000000"/>
              <w:bottom w:val="single" w:sz="12" w:space="0" w:color="000000"/>
              <w:end w:val="single" w:sz="6" w:space="0" w:color="000000"/>
            </w:tcBorders>
          </w:tcPr>
          <w:p>
            <w:pPr>
              <w:pStyle w:val="Normal"/>
              <w:jc w:val="center"/>
              <w:rPr>
                <w:sz w:val="24"/>
              </w:rPr>
            </w:pPr>
            <w:r>
              <w:rPr>
                <w:b/>
                <w:sz w:val="22"/>
              </w:rPr>
              <w:t>Average</w:t>
            </w:r>
          </w:p>
        </w:tc>
        <w:tc>
          <w:tcPr>
            <w:tcW w:w="1892" w:type="dxa"/>
            <w:tcBorders>
              <w:top w:val="single" w:sz="6" w:space="0" w:color="000000"/>
              <w:start w:val="single" w:sz="6" w:space="0" w:color="000000"/>
              <w:bottom w:val="single" w:sz="12" w:space="0" w:color="000000"/>
              <w:end w:val="double" w:sz="12" w:space="0" w:color="000000"/>
            </w:tcBorders>
          </w:tcPr>
          <w:p>
            <w:pPr>
              <w:pStyle w:val="Normal"/>
              <w:tabs>
                <w:tab w:val="clear" w:pos="720"/>
                <w:tab w:val="decimal" w:pos="1242" w:leader="none"/>
              </w:tabs>
              <w:rPr>
                <w:b/>
                <w:sz w:val="22"/>
              </w:rPr>
            </w:pPr>
            <w:r>
              <w:rPr>
                <w:b/>
                <w:sz w:val="22"/>
              </w:rPr>
              <w:t>+212,288</w:t>
            </w:r>
          </w:p>
        </w:tc>
        <w:tc>
          <w:tcPr>
            <w:tcW w:w="2068" w:type="dxa"/>
            <w:gridSpan w:val="2"/>
            <w:tcBorders>
              <w:top w:val="single" w:sz="6" w:space="0" w:color="000000"/>
              <w:bottom w:val="single" w:sz="12" w:space="0" w:color="000000"/>
              <w:end w:val="single" w:sz="6" w:space="0" w:color="000000"/>
            </w:tcBorders>
          </w:tcPr>
          <w:p>
            <w:pPr>
              <w:pStyle w:val="Normal"/>
              <w:jc w:val="center"/>
              <w:rPr>
                <w:sz w:val="24"/>
              </w:rPr>
            </w:pPr>
            <w:r>
              <w:rPr>
                <w:b/>
                <w:sz w:val="22"/>
              </w:rPr>
              <w:t>Average</w:t>
            </w:r>
          </w:p>
        </w:tc>
        <w:tc>
          <w:tcPr>
            <w:tcW w:w="1710" w:type="dxa"/>
            <w:tcBorders>
              <w:top w:val="single" w:sz="6" w:space="0" w:color="000000"/>
              <w:start w:val="single" w:sz="6" w:space="0" w:color="000000"/>
              <w:bottom w:val="single" w:sz="12" w:space="0" w:color="000000"/>
              <w:end w:val="single" w:sz="12" w:space="0" w:color="000000"/>
            </w:tcBorders>
          </w:tcPr>
          <w:p>
            <w:pPr>
              <w:pStyle w:val="Normal"/>
              <w:tabs>
                <w:tab w:val="clear" w:pos="720"/>
                <w:tab w:val="decimal" w:pos="1152" w:leader="none"/>
              </w:tabs>
              <w:rPr>
                <w:b/>
                <w:sz w:val="22"/>
              </w:rPr>
            </w:pPr>
            <w:r>
              <w:rPr>
                <w:b/>
                <w:sz w:val="22"/>
              </w:rPr>
              <w:t>-66,390</w:t>
            </w:r>
          </w:p>
        </w:tc>
      </w:tr>
    </w:tbl>
    <w:p>
      <w:pPr>
        <w:pStyle w:val="BodyText2"/>
        <w:spacing w:before="180" w:after="0"/>
        <w:rPr>
          <w:b/>
        </w:rPr>
      </w:pPr>
      <w:r>
        <w:rPr>
          <w:b/>
        </w:rPr>
      </w:r>
      <w:r>
        <w:br w:type="page"/>
      </w:r>
    </w:p>
    <w:p>
      <w:pPr>
        <w:pStyle w:val="BodyText2"/>
        <w:spacing w:before="180" w:after="0"/>
        <w:rPr/>
      </w:pPr>
      <w:r>
        <w:rPr>
          <w:b/>
        </w:rPr>
        <w:t>Recommendation:</w:t>
      </w:r>
      <w:r>
        <w:rPr/>
        <w:t xml:space="preserve">  Given the general improvement trend in the response to customer-specific OFOs, PG&amp;E recommends continuing to keep the basic approach for calling customer-specific OFOs intact for now.  </w:t>
      </w:r>
    </w:p>
    <w:p>
      <w:pPr>
        <w:pStyle w:val="Heading2"/>
        <w:widowControl/>
        <w:rPr/>
      </w:pPr>
      <w:bookmarkStart w:id="20" w:name="__RefHeading___Toc513004254"/>
      <w:bookmarkEnd w:id="20"/>
      <w:r>
        <w:rPr/>
        <w:t>D.</w:t>
        <w:tab/>
        <w:t>Significant Contributors Leading Up To OFO Days</w:t>
      </w:r>
    </w:p>
    <w:p>
      <w:pPr>
        <w:pStyle w:val="BodyText2"/>
        <w:widowControl/>
        <w:rPr/>
      </w:pPr>
      <w:r>
        <w:rPr/>
        <w:t xml:space="preserve">Within the total aggregate customer imbalance, certain entities are contributing more to packing (or drafting) the pipeline inventory than others.  The OFO Settlement identified “significant contributors” as an issue for discussion in the OFO Forum.  The purpose of defining significant contributors is to identify if there is any systematic behavior and to focus on possible corrective measures.  Appendix A provides data to help this discussion.  </w:t>
      </w:r>
    </w:p>
    <w:p>
      <w:pPr>
        <w:pStyle w:val="BodyText2"/>
        <w:widowControl/>
        <w:rPr/>
      </w:pPr>
      <w:r>
        <w:rPr/>
        <w:t>The summary table in Appendix A indicates that the significant contributors per the Settlement definition</w:t>
      </w:r>
      <w:r>
        <w:rPr>
          <w:rStyle w:val="FootnoteCharacters"/>
          <w:rStyle w:val="FootnoteReference"/>
          <w:sz w:val="24"/>
        </w:rPr>
        <w:footnoteReference w:id="14"/>
      </w:r>
      <w:r>
        <w:rPr/>
        <w:t xml:space="preserve"> are largely NBAAs.  Additionally, several of the CPG balancing entities (CTARGAS) and a few of the larger NGSAs were also identified as significant contributors.  During the quarter, 19 of the 23 NBAA balancing entities and 4 of the 16 CTARGAS balancing entities met the significant contributor criteria at least one time.  </w:t>
      </w:r>
    </w:p>
    <w:p>
      <w:pPr>
        <w:pStyle w:val="BodyText2"/>
        <w:widowControl/>
        <w:rPr/>
      </w:pPr>
      <w:r>
        <w:rPr/>
        <w:t xml:space="preserve">The correlation between balancing entities identified as significant contributors and those targeted by customer-specific OFOs during this quarter continued to show improvement when compared to the initial quarterly report period.  However, it is worth noting again that the criteria and data to identify a significant contributor versus a targeted entity are different.  Significant contributor, as defined in the Settlement, is based on actual supply and demand </w:t>
      </w:r>
      <w:r>
        <w:rPr>
          <w:u w:val="single"/>
        </w:rPr>
        <w:t>billing data</w:t>
      </w:r>
      <w:r>
        <w:rPr/>
        <w:t xml:space="preserve"> for the three days prior to an OFO event.  The criteria for targeting entities for a customer-specific OFO is based on a </w:t>
      </w:r>
      <w:r>
        <w:rPr>
          <w:u w:val="single"/>
        </w:rPr>
        <w:t>forecast</w:t>
      </w:r>
      <w:r>
        <w:rPr/>
        <w:t xml:space="preserve"> of supply and demand, made the day prior to the OFO day.</w:t>
      </w:r>
    </w:p>
    <w:p>
      <w:pPr>
        <w:pStyle w:val="BodyText2"/>
        <w:widowControl/>
        <w:rPr/>
      </w:pPr>
      <w:r>
        <w:rPr>
          <w:b/>
        </w:rPr>
        <w:t>Recommendation</w:t>
      </w:r>
      <w:r>
        <w:rPr/>
        <w:t>:  PG&amp;E recommends continuing to monitor the relationship between significant contributor and targeted entities over the next several quarters.</w:t>
      </w:r>
    </w:p>
    <w:p>
      <w:pPr>
        <w:pStyle w:val="Heading2"/>
        <w:widowControl/>
        <w:rPr/>
      </w:pPr>
      <w:bookmarkStart w:id="21" w:name="__RefHeading___Toc513004255"/>
      <w:r>
        <w:rPr/>
        <w:t>E.</w:t>
        <w:tab/>
        <w:t>Significant Contributors On OFO Days</w:t>
      </w:r>
      <w:bookmarkEnd w:id="21"/>
      <w:r>
        <w:rPr/>
        <w:t xml:space="preserve"> </w:t>
      </w:r>
    </w:p>
    <w:p>
      <w:pPr>
        <w:pStyle w:val="BodyText2"/>
        <w:widowControl/>
        <w:rPr/>
      </w:pPr>
      <w:r>
        <w:rPr/>
        <w:t>In the previous Quarterly Reports, PG&amp;E identified an issue where some non-targeted balancing entities during a Customer-Specific OFO would create additional imbalances that further exacerbated the operational conditions.  While this continues to be a concern, the magnitude of the problem was much less during the most recent quarter.  There were only three customer-specific OFOs.  Additionally, only one entity was targeted for one event and two entities for another.  This greatly limited the opportunity for this type of activity.</w:t>
      </w:r>
    </w:p>
    <w:p>
      <w:pPr>
        <w:pStyle w:val="BodyText2"/>
        <w:rPr/>
      </w:pPr>
      <w:r>
        <w:rPr>
          <w:b/>
        </w:rPr>
        <w:t>Recommendation</w:t>
      </w:r>
      <w:r>
        <w:rPr/>
        <w:t>:  This issue was discussed at the August 29, 2000 OFO Forum meeting.  The participants at the Forum meeting generally preferred the following two approaches among the alternatives discussed:</w:t>
      </w:r>
    </w:p>
    <w:p>
      <w:pPr>
        <w:pStyle w:val="BodyText2"/>
        <w:numPr>
          <w:ilvl w:val="0"/>
          <w:numId w:val="6"/>
        </w:numPr>
        <w:tabs>
          <w:tab w:val="clear" w:pos="720"/>
          <w:tab w:val="left" w:pos="1584" w:leader="none"/>
        </w:tabs>
        <w:ind w:hanging="360" w:start="1584" w:end="0"/>
        <w:rPr/>
      </w:pPr>
      <w:r>
        <w:rPr/>
        <w:t>Add those entities who act adversely to an announced customer-specific OFO (or those with multiple occurrences) to the “targeted” entity list for future customer-specific OFOs, and/or</w:t>
      </w:r>
    </w:p>
    <w:p>
      <w:pPr>
        <w:pStyle w:val="BodyText2"/>
        <w:numPr>
          <w:ilvl w:val="0"/>
          <w:numId w:val="6"/>
        </w:numPr>
        <w:tabs>
          <w:tab w:val="clear" w:pos="720"/>
          <w:tab w:val="left" w:pos="1584" w:leader="none"/>
        </w:tabs>
        <w:ind w:hanging="360" w:start="1584" w:end="0"/>
        <w:rPr/>
      </w:pPr>
      <w:r>
        <w:rPr/>
        <w:t>Call a customer-specific OFO during the gas day on those entities who are acting adverse to the OFO</w:t>
      </w:r>
    </w:p>
    <w:p>
      <w:pPr>
        <w:pStyle w:val="BodyText2"/>
        <w:rPr/>
      </w:pPr>
      <w:r>
        <w:rPr/>
        <w:t>PG&amp;E agreed to further monitor the issue and present a more refined proposal at a future OFO Forum meeting, if necessary.  This continues to be the current plan of action.</w:t>
      </w:r>
    </w:p>
    <w:p>
      <w:pPr>
        <w:pStyle w:val="Heading2"/>
        <w:widowControl/>
        <w:rPr/>
      </w:pPr>
      <w:bookmarkStart w:id="22" w:name="__RefHeading___Toc513004256"/>
      <w:r>
        <w:rPr/>
        <w:t>F.</w:t>
        <w:tab/>
        <w:t>California Production Imbalances</w:t>
      </w:r>
      <w:bookmarkEnd w:id="22"/>
      <w:r>
        <w:rPr/>
        <w:t xml:space="preserve"> </w:t>
      </w:r>
    </w:p>
    <w:p>
      <w:pPr>
        <w:pStyle w:val="BodyText2"/>
        <w:widowControl/>
        <w:rPr/>
      </w:pPr>
      <w:r>
        <w:rPr/>
        <w:t>California gas production is currently providing about 200 MDth per day of gas supply to the PG&amp;E system.  Imbalances between the scheduled nominations and actual gas production from California gas wells delivering into the PG&amp;E pipeline system are managed through California Production Balancing Agreements (CPBAs).  The CPBA provides a monthly balancing mechanism at the gas well meter.  While there are numerous differences, the CPBA generally works in much the same manner as an NBAA providing monthly balancing at an end-use customer meter.  A significant difference is that CPBAs are not subject to OFO noncompliance charges.</w:t>
      </w:r>
    </w:p>
    <w:p>
      <w:pPr>
        <w:pStyle w:val="BodyText2"/>
        <w:widowControl/>
        <w:rPr/>
      </w:pPr>
      <w:r>
        <w:rPr/>
        <w:t>PG&amp;E has observed that daily imbalances under CPBAs on OFO days have tended to adversely contribute to operational imbalances and raised this issue at the August 29</w:t>
      </w:r>
      <w:r>
        <w:rPr>
          <w:vertAlign w:val="superscript"/>
        </w:rPr>
        <w:t>th</w:t>
      </w:r>
      <w:r>
        <w:rPr/>
        <w:t xml:space="preserve"> OFO Forum.  Table 7 shows the net aggregate imbalance from the California gas production wells delivering supply into the PG&amp;E pipeline system for each of the OFO days during this report period.</w:t>
      </w:r>
    </w:p>
    <w:p>
      <w:pPr>
        <w:pStyle w:val="TableHeading1"/>
        <w:widowControl/>
        <w:rPr/>
      </w:pPr>
      <w:bookmarkStart w:id="23" w:name="__RefHeading___Toc504897737"/>
      <w:r>
        <w:rPr/>
        <w:t>Table 7:   California Production Imbalances on OFO Days</w:t>
      </w:r>
      <w:bookmarkEnd w:id="23"/>
      <w:r>
        <w:rPr/>
        <w:t xml:space="preserve"> </w:t>
      </w:r>
    </w:p>
    <w:tbl>
      <w:tblPr>
        <w:tblW w:w="7920" w:type="dxa"/>
        <w:jc w:val="start"/>
        <w:tblInd w:w="1008" w:type="dxa"/>
        <w:tblLayout w:type="fixed"/>
        <w:tblCellMar>
          <w:top w:w="0" w:type="dxa"/>
          <w:start w:w="108" w:type="dxa"/>
          <w:bottom w:w="0" w:type="dxa"/>
          <w:end w:w="108" w:type="dxa"/>
        </w:tblCellMar>
      </w:tblPr>
      <w:tblGrid>
        <w:gridCol w:w="1637"/>
        <w:gridCol w:w="1029"/>
        <w:gridCol w:w="1056"/>
        <w:gridCol w:w="1926"/>
        <w:gridCol w:w="1136"/>
        <w:gridCol w:w="1136"/>
      </w:tblGrid>
      <w:tr>
        <w:trPr/>
        <w:tc>
          <w:tcPr>
            <w:tcW w:w="1637"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snapToGrid w:val="false"/>
              <w:jc w:val="center"/>
              <w:rPr>
                <w:sz w:val="22"/>
              </w:rPr>
            </w:pPr>
            <w:r>
              <w:rPr>
                <w:sz w:val="22"/>
              </w:rPr>
            </w:r>
          </w:p>
          <w:p>
            <w:pPr>
              <w:pStyle w:val="Normal"/>
              <w:keepNext w:val="true"/>
              <w:keepLines/>
              <w:jc w:val="center"/>
              <w:rPr>
                <w:sz w:val="22"/>
              </w:rPr>
            </w:pPr>
            <w:r>
              <w:rPr>
                <w:sz w:val="22"/>
              </w:rPr>
            </w:r>
          </w:p>
          <w:p>
            <w:pPr>
              <w:pStyle w:val="Normal"/>
              <w:keepNext w:val="true"/>
              <w:keepLines/>
              <w:jc w:val="center"/>
              <w:rPr>
                <w:sz w:val="22"/>
              </w:rPr>
            </w:pPr>
            <w:r>
              <w:rPr>
                <w:sz w:val="22"/>
              </w:rPr>
              <w:t>OFO Date</w:t>
            </w:r>
          </w:p>
        </w:tc>
        <w:tc>
          <w:tcPr>
            <w:tcW w:w="1029"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snapToGrid w:val="false"/>
              <w:jc w:val="center"/>
              <w:rPr>
                <w:sz w:val="22"/>
              </w:rPr>
            </w:pPr>
            <w:r>
              <w:rPr>
                <w:sz w:val="22"/>
              </w:rPr>
            </w:r>
          </w:p>
          <w:p>
            <w:pPr>
              <w:pStyle w:val="Normal"/>
              <w:keepNext w:val="true"/>
              <w:keepLines/>
              <w:jc w:val="center"/>
              <w:rPr>
                <w:sz w:val="22"/>
              </w:rPr>
            </w:pPr>
            <w:r>
              <w:rPr>
                <w:sz w:val="22"/>
              </w:rPr>
              <w:t>OFO Type</w:t>
            </w:r>
          </w:p>
        </w:tc>
        <w:tc>
          <w:tcPr>
            <w:tcW w:w="1056"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snapToGrid w:val="false"/>
              <w:jc w:val="center"/>
              <w:rPr>
                <w:sz w:val="20"/>
              </w:rPr>
            </w:pPr>
            <w:r>
              <w:rPr>
                <w:sz w:val="20"/>
              </w:rPr>
            </w:r>
          </w:p>
          <w:p>
            <w:pPr>
              <w:pStyle w:val="Normal"/>
              <w:keepNext w:val="true"/>
              <w:keepLines/>
              <w:jc w:val="center"/>
              <w:rPr>
                <w:sz w:val="20"/>
              </w:rPr>
            </w:pPr>
            <w:r>
              <w:rPr>
                <w:sz w:val="20"/>
              </w:rPr>
              <w:t>OFO</w:t>
            </w:r>
          </w:p>
          <w:p>
            <w:pPr>
              <w:pStyle w:val="Normal"/>
              <w:keepNext w:val="true"/>
              <w:keepLines/>
              <w:jc w:val="center"/>
              <w:rPr>
                <w:sz w:val="20"/>
              </w:rPr>
            </w:pPr>
            <w:r>
              <w:rPr>
                <w:sz w:val="20"/>
              </w:rPr>
              <w:t>Tolerance Band</w:t>
            </w:r>
          </w:p>
        </w:tc>
        <w:tc>
          <w:tcPr>
            <w:tcW w:w="1926"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snapToGrid w:val="false"/>
              <w:jc w:val="center"/>
              <w:rPr>
                <w:sz w:val="22"/>
              </w:rPr>
            </w:pPr>
            <w:r>
              <w:rPr>
                <w:sz w:val="22"/>
              </w:rPr>
            </w:r>
          </w:p>
          <w:p>
            <w:pPr>
              <w:pStyle w:val="Normal"/>
              <w:keepNext w:val="true"/>
              <w:keepLines/>
              <w:jc w:val="center"/>
              <w:rPr>
                <w:sz w:val="22"/>
              </w:rPr>
            </w:pPr>
            <w:r>
              <w:rPr>
                <w:sz w:val="22"/>
              </w:rPr>
              <w:t>CA Production Imbalance</w:t>
            </w:r>
          </w:p>
        </w:tc>
        <w:tc>
          <w:tcPr>
            <w:tcW w:w="1136"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snapToGrid w:val="false"/>
              <w:jc w:val="center"/>
              <w:rPr>
                <w:sz w:val="20"/>
              </w:rPr>
            </w:pPr>
            <w:r>
              <w:rPr>
                <w:sz w:val="20"/>
              </w:rPr>
            </w:r>
          </w:p>
          <w:p>
            <w:pPr>
              <w:pStyle w:val="Normal"/>
              <w:keepNext w:val="true"/>
              <w:keepLines/>
              <w:jc w:val="center"/>
              <w:rPr>
                <w:sz w:val="20"/>
              </w:rPr>
            </w:pPr>
            <w:r>
              <w:rPr>
                <w:sz w:val="20"/>
              </w:rPr>
              <w:t xml:space="preserve">Percent </w:t>
            </w:r>
          </w:p>
          <w:p>
            <w:pPr>
              <w:pStyle w:val="Normal"/>
              <w:keepNext w:val="true"/>
              <w:keepLines/>
              <w:jc w:val="center"/>
              <w:rPr>
                <w:sz w:val="20"/>
              </w:rPr>
            </w:pPr>
            <w:r>
              <w:rPr>
                <w:sz w:val="20"/>
              </w:rPr>
              <w:t>Production</w:t>
            </w:r>
          </w:p>
          <w:p>
            <w:pPr>
              <w:pStyle w:val="Normal"/>
              <w:keepNext w:val="true"/>
              <w:keepLines/>
              <w:jc w:val="center"/>
              <w:rPr>
                <w:sz w:val="22"/>
              </w:rPr>
            </w:pPr>
            <w:r>
              <w:rPr>
                <w:sz w:val="20"/>
              </w:rPr>
              <w:t>Imbalance</w:t>
            </w:r>
          </w:p>
        </w:tc>
        <w:tc>
          <w:tcPr>
            <w:tcW w:w="1136" w:type="dxa"/>
            <w:tcBorders>
              <w:top w:val="single" w:sz="6" w:space="0" w:color="000000"/>
              <w:start w:val="single" w:sz="6" w:space="0" w:color="000000"/>
              <w:bottom w:val="single" w:sz="6" w:space="0" w:color="000000"/>
              <w:end w:val="single" w:sz="6" w:space="0" w:color="000000"/>
            </w:tcBorders>
            <w:shd w:fill="F3F3F3" w:val="clear"/>
          </w:tcPr>
          <w:p>
            <w:pPr>
              <w:pStyle w:val="Normal"/>
              <w:keepNext w:val="true"/>
              <w:keepLines/>
              <w:jc w:val="center"/>
              <w:rPr>
                <w:sz w:val="22"/>
              </w:rPr>
            </w:pPr>
            <w:r>
              <w:rPr>
                <w:sz w:val="22"/>
              </w:rPr>
              <w:t>Exceeds OFO Tolerance Band</w:t>
            </w:r>
          </w:p>
        </w:tc>
      </w:tr>
      <w:tr>
        <w:trPr/>
        <w:tc>
          <w:tcPr>
            <w:tcW w:w="1637" w:type="dxa"/>
            <w:tcBorders>
              <w:top w:val="single" w:sz="6"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February 1</w:t>
            </w:r>
          </w:p>
        </w:tc>
        <w:tc>
          <w:tcPr>
            <w:tcW w:w="1029" w:type="dxa"/>
            <w:tcBorders>
              <w:top w:val="single" w:sz="6" w:space="0" w:color="000000"/>
              <w:start w:val="single" w:sz="6" w:space="0" w:color="000000"/>
              <w:bottom w:val="single" w:sz="12" w:space="0" w:color="000000"/>
              <w:end w:val="single" w:sz="6" w:space="0" w:color="000000"/>
            </w:tcBorders>
            <w:shd w:fill="FFFFFF" w:val="clear"/>
          </w:tcPr>
          <w:p>
            <w:pPr>
              <w:pStyle w:val="Normal"/>
              <w:keepNext w:val="true"/>
              <w:keepLines/>
              <w:jc w:val="center"/>
              <w:rPr>
                <w:sz w:val="22"/>
              </w:rPr>
            </w:pPr>
            <w:r>
              <w:rPr>
                <w:sz w:val="22"/>
              </w:rPr>
              <w:t>Low</w:t>
            </w:r>
          </w:p>
        </w:tc>
        <w:tc>
          <w:tcPr>
            <w:tcW w:w="1056" w:type="dxa"/>
            <w:tcBorders>
              <w:top w:val="single" w:sz="6"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522" w:leader="none"/>
              </w:tabs>
              <w:rPr>
                <w:sz w:val="22"/>
              </w:rPr>
            </w:pPr>
            <w:r>
              <w:rPr>
                <w:sz w:val="22"/>
              </w:rPr>
              <w:t>2%</w:t>
            </w:r>
          </w:p>
        </w:tc>
        <w:tc>
          <w:tcPr>
            <w:tcW w:w="1926" w:type="dxa"/>
            <w:tcBorders>
              <w:top w:val="single" w:sz="6"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-5,258</w:t>
            </w:r>
          </w:p>
        </w:tc>
        <w:tc>
          <w:tcPr>
            <w:tcW w:w="1136" w:type="dxa"/>
            <w:tcBorders>
              <w:top w:val="single" w:sz="6"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-2.5%</w:t>
            </w:r>
          </w:p>
        </w:tc>
        <w:tc>
          <w:tcPr>
            <w:tcW w:w="1136" w:type="dxa"/>
            <w:tcBorders>
              <w:top w:val="single" w:sz="6"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637"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February 5</w:t>
            </w:r>
          </w:p>
        </w:tc>
        <w:tc>
          <w:tcPr>
            <w:tcW w:w="1029"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jc w:val="center"/>
              <w:rPr>
                <w:sz w:val="22"/>
              </w:rPr>
            </w:pPr>
            <w:r>
              <w:rPr>
                <w:sz w:val="22"/>
              </w:rPr>
              <w:t>High</w:t>
            </w:r>
          </w:p>
        </w:tc>
        <w:tc>
          <w:tcPr>
            <w:tcW w:w="1056"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522" w:leader="none"/>
              </w:tabs>
              <w:rPr>
                <w:sz w:val="22"/>
              </w:rPr>
            </w:pPr>
            <w:r>
              <w:rPr>
                <w:sz w:val="22"/>
              </w:rPr>
              <w:t>0%</w:t>
            </w:r>
          </w:p>
        </w:tc>
        <w:tc>
          <w:tcPr>
            <w:tcW w:w="192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5,291</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2.7%</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637"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February 21</w:t>
            </w:r>
          </w:p>
        </w:tc>
        <w:tc>
          <w:tcPr>
            <w:tcW w:w="1029"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jc w:val="center"/>
              <w:rPr>
                <w:sz w:val="22"/>
              </w:rPr>
            </w:pPr>
            <w:r>
              <w:rPr>
                <w:sz w:val="22"/>
              </w:rPr>
              <w:t>Low</w:t>
            </w:r>
          </w:p>
        </w:tc>
        <w:tc>
          <w:tcPr>
            <w:tcW w:w="1056"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522" w:leader="none"/>
              </w:tabs>
              <w:rPr>
                <w:sz w:val="22"/>
              </w:rPr>
            </w:pPr>
            <w:r>
              <w:rPr>
                <w:sz w:val="22"/>
              </w:rPr>
              <w:t>2%</w:t>
            </w:r>
          </w:p>
        </w:tc>
        <w:tc>
          <w:tcPr>
            <w:tcW w:w="192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-5,123</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-2.6%</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ind w:end="-108"/>
              <w:rPr>
                <w:sz w:val="22"/>
              </w:rPr>
            </w:pPr>
            <w:r>
              <w:rPr>
                <w:sz w:val="22"/>
              </w:rPr>
              <w:t>X</w:t>
            </w:r>
          </w:p>
        </w:tc>
      </w:tr>
      <w:tr>
        <w:trPr/>
        <w:tc>
          <w:tcPr>
            <w:tcW w:w="1637"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February 26</w:t>
            </w:r>
          </w:p>
        </w:tc>
        <w:tc>
          <w:tcPr>
            <w:tcW w:w="1029"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jc w:val="center"/>
              <w:rPr>
                <w:sz w:val="22"/>
              </w:rPr>
            </w:pPr>
            <w:r>
              <w:rPr>
                <w:sz w:val="22"/>
              </w:rPr>
              <w:t>Low</w:t>
            </w:r>
          </w:p>
        </w:tc>
        <w:tc>
          <w:tcPr>
            <w:tcW w:w="1056"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522" w:leader="none"/>
              </w:tabs>
              <w:rPr>
                <w:sz w:val="22"/>
              </w:rPr>
            </w:pPr>
            <w:r>
              <w:rPr>
                <w:sz w:val="22"/>
              </w:rPr>
              <w:t>2%</w:t>
            </w:r>
          </w:p>
        </w:tc>
        <w:tc>
          <w:tcPr>
            <w:tcW w:w="192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1,170</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0.6%</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snapToGrid w:val="false"/>
              <w:ind w:end="-108"/>
              <w:rPr>
                <w:sz w:val="22"/>
              </w:rPr>
            </w:pPr>
            <w:r>
              <w:rPr>
                <w:sz w:val="22"/>
              </w:rPr>
            </w:r>
          </w:p>
        </w:tc>
      </w:tr>
      <w:tr>
        <w:trPr/>
        <w:tc>
          <w:tcPr>
            <w:tcW w:w="1637"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March 20</w:t>
            </w:r>
          </w:p>
        </w:tc>
        <w:tc>
          <w:tcPr>
            <w:tcW w:w="1029"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jc w:val="center"/>
              <w:rPr>
                <w:sz w:val="22"/>
              </w:rPr>
            </w:pPr>
            <w:r>
              <w:rPr>
                <w:sz w:val="22"/>
              </w:rPr>
              <w:t>High</w:t>
            </w:r>
          </w:p>
        </w:tc>
        <w:tc>
          <w:tcPr>
            <w:tcW w:w="1056"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522" w:leader="none"/>
              </w:tabs>
              <w:rPr>
                <w:sz w:val="22"/>
              </w:rPr>
            </w:pPr>
            <w:r>
              <w:rPr>
                <w:sz w:val="22"/>
              </w:rPr>
              <w:t>1%</w:t>
            </w:r>
          </w:p>
        </w:tc>
        <w:tc>
          <w:tcPr>
            <w:tcW w:w="192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-11,421</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-6.8%</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snapToGrid w:val="false"/>
              <w:ind w:end="-108"/>
              <w:rPr>
                <w:sz w:val="22"/>
              </w:rPr>
            </w:pPr>
            <w:r>
              <w:rPr>
                <w:sz w:val="22"/>
              </w:rPr>
            </w:r>
          </w:p>
        </w:tc>
      </w:tr>
      <w:tr>
        <w:trPr/>
        <w:tc>
          <w:tcPr>
            <w:tcW w:w="1637"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March 21</w:t>
            </w:r>
          </w:p>
        </w:tc>
        <w:tc>
          <w:tcPr>
            <w:tcW w:w="1029"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jc w:val="center"/>
              <w:rPr>
                <w:sz w:val="22"/>
              </w:rPr>
            </w:pPr>
            <w:r>
              <w:rPr>
                <w:sz w:val="22"/>
              </w:rPr>
              <w:t>High</w:t>
            </w:r>
          </w:p>
        </w:tc>
        <w:tc>
          <w:tcPr>
            <w:tcW w:w="1056"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522" w:leader="none"/>
              </w:tabs>
              <w:rPr>
                <w:sz w:val="22"/>
              </w:rPr>
            </w:pPr>
            <w:r>
              <w:rPr>
                <w:sz w:val="22"/>
              </w:rPr>
              <w:t>1%</w:t>
            </w:r>
          </w:p>
        </w:tc>
        <w:tc>
          <w:tcPr>
            <w:tcW w:w="192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-1,155</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-0.7%</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snapToGrid w:val="false"/>
              <w:ind w:end="-108"/>
              <w:rPr>
                <w:sz w:val="22"/>
              </w:rPr>
            </w:pPr>
            <w:r>
              <w:rPr>
                <w:sz w:val="22"/>
              </w:rPr>
            </w:r>
          </w:p>
        </w:tc>
      </w:tr>
      <w:tr>
        <w:trPr/>
        <w:tc>
          <w:tcPr>
            <w:tcW w:w="1637" w:type="dxa"/>
            <w:tcBorders>
              <w:top w:val="single" w:sz="12" w:space="0" w:color="000000"/>
              <w:start w:val="single" w:sz="12" w:space="0" w:color="000000"/>
              <w:bottom w:val="single" w:sz="12" w:space="0" w:color="000000"/>
              <w:end w:val="single" w:sz="6" w:space="0" w:color="000000"/>
            </w:tcBorders>
            <w:shd w:fill="FFFFFF" w:val="clear"/>
          </w:tcPr>
          <w:p>
            <w:pPr>
              <w:pStyle w:val="Normal"/>
              <w:keepNext w:val="true"/>
              <w:keepLines/>
              <w:jc w:val="center"/>
              <w:rPr>
                <w:sz w:val="22"/>
              </w:rPr>
            </w:pPr>
            <w:r>
              <w:rPr>
                <w:sz w:val="22"/>
              </w:rPr>
              <w:t>March 22</w:t>
            </w:r>
          </w:p>
        </w:tc>
        <w:tc>
          <w:tcPr>
            <w:tcW w:w="1029"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jc w:val="center"/>
              <w:rPr>
                <w:sz w:val="22"/>
              </w:rPr>
            </w:pPr>
            <w:r>
              <w:rPr>
                <w:sz w:val="22"/>
              </w:rPr>
              <w:t>High</w:t>
            </w:r>
          </w:p>
        </w:tc>
        <w:tc>
          <w:tcPr>
            <w:tcW w:w="1056" w:type="dxa"/>
            <w:tcBorders>
              <w:top w:val="single" w:sz="12" w:space="0" w:color="000000"/>
              <w:start w:val="single" w:sz="6" w:space="0" w:color="000000"/>
              <w:bottom w:val="single" w:sz="12" w:space="0" w:color="000000"/>
              <w:end w:val="single" w:sz="6" w:space="0" w:color="000000"/>
            </w:tcBorders>
            <w:shd w:fill="FFFFFF" w:val="clear"/>
          </w:tcPr>
          <w:p>
            <w:pPr>
              <w:pStyle w:val="Normal"/>
              <w:keepNext w:val="true"/>
              <w:keepLines/>
              <w:tabs>
                <w:tab w:val="clear" w:pos="720"/>
                <w:tab w:val="decimal" w:pos="522" w:leader="none"/>
              </w:tabs>
              <w:rPr>
                <w:sz w:val="22"/>
              </w:rPr>
            </w:pPr>
            <w:r>
              <w:rPr>
                <w:sz w:val="22"/>
              </w:rPr>
              <w:t>3%</w:t>
            </w:r>
          </w:p>
        </w:tc>
        <w:tc>
          <w:tcPr>
            <w:tcW w:w="192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1332" w:leader="none"/>
              </w:tabs>
              <w:rPr>
                <w:sz w:val="22"/>
              </w:rPr>
            </w:pPr>
            <w:r>
              <w:rPr>
                <w:sz w:val="22"/>
              </w:rPr>
              <w:t>3,557</w:t>
            </w:r>
          </w:p>
        </w:tc>
        <w:tc>
          <w:tcPr>
            <w:tcW w:w="1136" w:type="dxa"/>
            <w:tcBorders>
              <w:top w:val="single" w:sz="12" w:space="0" w:color="000000"/>
              <w:start w:val="single" w:sz="6" w:space="0" w:color="000000"/>
              <w:bottom w:val="single" w:sz="12" w:space="0" w:color="000000"/>
              <w:end w:val="single" w:sz="6" w:space="0" w:color="000000"/>
            </w:tcBorders>
            <w:shd w:fill="F3F3F3" w:val="clear"/>
          </w:tcPr>
          <w:p>
            <w:pPr>
              <w:pStyle w:val="Normal"/>
              <w:keepNext w:val="true"/>
              <w:keepLines/>
              <w:tabs>
                <w:tab w:val="clear" w:pos="720"/>
                <w:tab w:val="decimal" w:pos="522" w:leader="none"/>
              </w:tabs>
              <w:ind w:end="-108"/>
              <w:rPr>
                <w:sz w:val="22"/>
              </w:rPr>
            </w:pPr>
            <w:r>
              <w:rPr>
                <w:sz w:val="22"/>
              </w:rPr>
              <w:t>2.0%</w:t>
            </w:r>
          </w:p>
        </w:tc>
        <w:tc>
          <w:tcPr>
            <w:tcW w:w="1136" w:type="dxa"/>
            <w:tcBorders>
              <w:top w:val="single" w:sz="12" w:space="0" w:color="000000"/>
              <w:start w:val="single" w:sz="6" w:space="0" w:color="000000"/>
              <w:bottom w:val="single" w:sz="12" w:space="0" w:color="000000"/>
              <w:end w:val="single" w:sz="12" w:space="0" w:color="000000"/>
            </w:tcBorders>
            <w:shd w:fill="FFFFFF" w:val="clear"/>
          </w:tcPr>
          <w:p>
            <w:pPr>
              <w:pStyle w:val="Normal"/>
              <w:keepNext w:val="true"/>
              <w:keepLines/>
              <w:tabs>
                <w:tab w:val="clear" w:pos="720"/>
                <w:tab w:val="decimal" w:pos="522" w:leader="none"/>
              </w:tabs>
              <w:snapToGrid w:val="false"/>
              <w:ind w:end="-108"/>
              <w:rPr>
                <w:sz w:val="22"/>
              </w:rPr>
            </w:pPr>
            <w:r>
              <w:rPr>
                <w:sz w:val="22"/>
              </w:rPr>
            </w:r>
          </w:p>
        </w:tc>
      </w:tr>
    </w:tbl>
    <w:p>
      <w:pPr>
        <w:pStyle w:val="BodyText2"/>
        <w:rPr/>
      </w:pPr>
      <w:r>
        <w:rPr/>
        <w:t xml:space="preserve">A positive imbalance means more gas was delivered into the pipeline system than was scheduled through the nomination process. A positive imbalance adversely impacts the system during a high inventory OFO.  A negative imbalance means less gas was delivered into the pipeline system than was scheduled and has adverse impacts under low inventory OFOs.  </w:t>
      </w:r>
    </w:p>
    <w:p>
      <w:pPr>
        <w:pStyle w:val="BodyText2"/>
        <w:rPr/>
      </w:pPr>
      <w:r>
        <w:rPr/>
        <w:t xml:space="preserve">On about half of the OFO days, the net California gas production imbalance exceeded the OFO tolerance band and further contributed to the operational problems that the OFO was trying to resolve.  </w:t>
      </w:r>
    </w:p>
    <w:p>
      <w:pPr>
        <w:pStyle w:val="BodyText2"/>
        <w:rPr>
          <w:i/>
          <w:i/>
          <w:iCs/>
        </w:rPr>
      </w:pPr>
      <w:r>
        <w:rPr>
          <w:b/>
        </w:rPr>
        <w:t xml:space="preserve">Recommendation:  </w:t>
      </w:r>
      <w:r>
        <w:rPr/>
        <w:t>Several potential changes were discussed at the August 29</w:t>
      </w:r>
      <w:r>
        <w:rPr>
          <w:vertAlign w:val="superscript"/>
        </w:rPr>
        <w:t>th</w:t>
      </w:r>
      <w:r>
        <w:rPr/>
        <w:t xml:space="preserve"> OFO Forum.  However, the recommendation is to continue to monitor this issue and talk to affected parties about potential options to minimize the impact on pipeline operations during an OFO event.</w:t>
      </w:r>
    </w:p>
    <w:p>
      <w:pPr>
        <w:pStyle w:val="Heading1"/>
        <w:widowControl/>
        <w:ind w:hanging="0" w:start="0"/>
        <w:rPr/>
      </w:pPr>
      <w:bookmarkStart w:id="24" w:name="__RefHeading___Toc513004257"/>
      <w:bookmarkEnd w:id="24"/>
      <w:r>
        <w:rPr/>
        <w:t>V.</w:t>
        <w:tab/>
        <w:t>Conclusions</w:t>
      </w:r>
    </w:p>
    <w:p>
      <w:pPr>
        <w:pStyle w:val="Heading2"/>
        <w:rPr/>
      </w:pPr>
      <w:bookmarkStart w:id="25" w:name="__RefHeading___Toc513004258"/>
      <w:bookmarkEnd w:id="25"/>
      <w:r>
        <w:rPr/>
        <w:t>A.  Quarter Summary</w:t>
      </w:r>
    </w:p>
    <w:p>
      <w:pPr>
        <w:pStyle w:val="BodyText1"/>
        <w:widowControl/>
        <w:rPr/>
      </w:pPr>
      <w:r>
        <w:rPr/>
        <w:t xml:space="preserve">The detailed balancing entity and operational data provided and discussed in this report support the following conclusions.  </w:t>
      </w:r>
    </w:p>
    <w:p>
      <w:pPr>
        <w:pStyle w:val="Bullet2"/>
        <w:widowControl/>
        <w:numPr>
          <w:ilvl w:val="0"/>
          <w:numId w:val="11"/>
        </w:numPr>
        <w:tabs>
          <w:tab w:val="clear" w:pos="720"/>
          <w:tab w:val="left" w:pos="792" w:leader="none"/>
        </w:tabs>
        <w:spacing w:before="60" w:after="0"/>
        <w:rPr>
          <w:sz w:val="24"/>
        </w:rPr>
      </w:pPr>
      <w:r>
        <w:rPr>
          <w:sz w:val="24"/>
        </w:rPr>
        <w:t>There are a number of factors that led to the operational conditions that resulted in an OFO being called.  Customer (CTARGAS, NBAA and NGSA) imbalances in the days prior to an OFO were identified as a significant contributor on numerous occasions.  Additionally, a pipeline imbalance due to core load forecast error can also be a contributing factor.</w:t>
      </w:r>
    </w:p>
    <w:p>
      <w:pPr>
        <w:pStyle w:val="Bullet2"/>
        <w:widowControl/>
        <w:numPr>
          <w:ilvl w:val="0"/>
          <w:numId w:val="11"/>
        </w:numPr>
        <w:tabs>
          <w:tab w:val="clear" w:pos="720"/>
          <w:tab w:val="left" w:pos="792" w:leader="none"/>
        </w:tabs>
        <w:rPr>
          <w:sz w:val="24"/>
        </w:rPr>
      </w:pPr>
      <w:r>
        <w:rPr>
          <w:sz w:val="24"/>
        </w:rPr>
        <w:t>PG&amp;E’s Market Center has not been a significant contributor to OFOs.</w:t>
      </w:r>
    </w:p>
    <w:p>
      <w:pPr>
        <w:pStyle w:val="Bullet2"/>
        <w:widowControl/>
        <w:numPr>
          <w:ilvl w:val="0"/>
          <w:numId w:val="11"/>
        </w:numPr>
        <w:tabs>
          <w:tab w:val="clear" w:pos="720"/>
          <w:tab w:val="left" w:pos="792" w:leader="none"/>
        </w:tabs>
        <w:rPr>
          <w:sz w:val="24"/>
        </w:rPr>
      </w:pPr>
      <w:r>
        <w:rPr>
          <w:sz w:val="24"/>
        </w:rPr>
        <w:t>System-wide OFOs continue to be more effective than customer-specific OFOs in bringing pipeline inventory back into acceptable levels.  However, the response from customer-specific OFOs has improved.</w:t>
      </w:r>
    </w:p>
    <w:p>
      <w:pPr>
        <w:pStyle w:val="Bullet2"/>
        <w:widowControl/>
        <w:numPr>
          <w:ilvl w:val="0"/>
          <w:numId w:val="11"/>
        </w:numPr>
        <w:tabs>
          <w:tab w:val="clear" w:pos="720"/>
          <w:tab w:val="left" w:pos="792" w:leader="none"/>
        </w:tabs>
        <w:rPr>
          <w:sz w:val="24"/>
        </w:rPr>
      </w:pPr>
      <w:r>
        <w:rPr>
          <w:sz w:val="24"/>
        </w:rPr>
        <w:t xml:space="preserve">Concerns continue that some non-targeted balancing entities will adversely increase their imbalances during announced customer-specific OFOs.  This reduces the effectiveness of customer-specific OFOs and can lead to subsequent system-wide OFOs.  </w:t>
      </w:r>
    </w:p>
    <w:p>
      <w:pPr>
        <w:pStyle w:val="Bullet2"/>
        <w:widowControl/>
        <w:numPr>
          <w:ilvl w:val="0"/>
          <w:numId w:val="11"/>
        </w:numPr>
        <w:tabs>
          <w:tab w:val="clear" w:pos="720"/>
          <w:tab w:val="left" w:pos="792" w:leader="none"/>
        </w:tabs>
        <w:rPr>
          <w:sz w:val="24"/>
        </w:rPr>
      </w:pPr>
      <w:r>
        <w:rPr>
          <w:sz w:val="24"/>
        </w:rPr>
        <w:t>The California gas production daily imbalances can adversely impacted the pipeline operations on OFO days.  However, this situation appears to have improved since the issue was raised at the August 29, 2000 OFO Forum.</w:t>
      </w:r>
    </w:p>
    <w:p>
      <w:pPr>
        <w:pStyle w:val="Bullet2"/>
        <w:widowControl/>
        <w:tabs>
          <w:tab w:val="clear" w:pos="720"/>
          <w:tab w:val="left" w:pos="792" w:leader="none"/>
        </w:tabs>
        <w:spacing w:before="60" w:after="0"/>
        <w:rPr>
          <w:sz w:val="24"/>
        </w:rPr>
      </w:pPr>
      <w:r>
        <w:rPr>
          <w:sz w:val="24"/>
        </w:rPr>
        <w:t xml:space="preserve">These conclusions are consistent with the findings from the previous quarterly reports.  </w:t>
      </w:r>
    </w:p>
    <w:p>
      <w:pPr>
        <w:pStyle w:val="Heading2"/>
        <w:rPr/>
      </w:pPr>
      <w:bookmarkStart w:id="26" w:name="__RefHeading___Toc513004259"/>
      <w:bookmarkEnd w:id="26"/>
      <w:r>
        <w:rPr/>
        <w:t>B.  Year Summary</w:t>
      </w:r>
    </w:p>
    <w:p>
      <w:pPr>
        <w:pStyle w:val="BodyText1"/>
        <w:widowControl/>
        <w:rPr/>
      </w:pPr>
      <w:r>
        <w:rPr/>
        <w:t>This quarterly report concludes the first year of operation under the OFO Settlement.  Since the April 1, 2000 implementation of the OFO Settlement, the frequency and impact of OFOs has been greatly reduced.  The success of the OFO Settlement can be highlighted by the following statistics when compared to the year prior to implementation:</w:t>
      </w:r>
    </w:p>
    <w:p>
      <w:pPr>
        <w:pStyle w:val="BodyText1"/>
        <w:widowControl/>
        <w:numPr>
          <w:ilvl w:val="0"/>
          <w:numId w:val="4"/>
        </w:numPr>
        <w:rPr/>
      </w:pPr>
      <w:r>
        <w:rPr/>
        <w:t>The number of System-Wide OFOs declined by 63% (18 compared to 49).</w:t>
      </w:r>
    </w:p>
    <w:p>
      <w:pPr>
        <w:pStyle w:val="BodyText1"/>
        <w:widowControl/>
        <w:numPr>
          <w:ilvl w:val="0"/>
          <w:numId w:val="4"/>
        </w:numPr>
        <w:rPr/>
      </w:pPr>
      <w:r>
        <w:rPr/>
        <w:t>The total number of OFOs declined by 20% (41 compared to 51).</w:t>
      </w:r>
    </w:p>
    <w:p>
      <w:pPr>
        <w:pStyle w:val="BodyText1"/>
        <w:widowControl/>
        <w:rPr/>
      </w:pPr>
      <w:r>
        <w:rPr/>
        <w:t xml:space="preserve">This significantly exceeds the goal, established in the OFO Settlement, of reducing System-Wide OFOs by 25%.  </w:t>
      </w:r>
    </w:p>
    <w:p>
      <w:pPr>
        <w:pStyle w:val="BodyText1"/>
        <w:widowControl/>
        <w:rPr/>
      </w:pPr>
      <w:r>
        <w:rPr/>
        <w:t xml:space="preserve">These Quarterly Reports have served a valuable function in providing data and analysis as to the factors that lead up to OFO events.  These reports, and the daily operating data provided on the Pipe Ranger web site, have greatly improved the predictability and general understanding of the OFO process.  </w:t>
      </w:r>
    </w:p>
    <w:p>
      <w:pPr>
        <w:pStyle w:val="BodyText1"/>
        <w:widowControl/>
        <w:rPr/>
      </w:pPr>
      <w:r>
        <w:rPr/>
        <w:t>However, the data in each of the four quarterly reports over the past year has led to essentially the same conclusions as listed in the section above.  Therefore, future quarterly reports will focus on simply providing the imbalance and operational data required.  They will not contain repetitive analysis and discussion.  This will significantly shorten the report, making it easier to review.  All the detail data contained in the report appendixes will continue to be provided, as specified in the OFO Settlement.</w:t>
      </w:r>
    </w:p>
    <w:p>
      <w:pPr>
        <w:pStyle w:val="BodyText1"/>
        <w:widowControl/>
        <w:rPr/>
      </w:pPr>
      <w:r>
        <w:rPr/>
      </w:r>
    </w:p>
    <w:p>
      <w:pPr>
        <w:sectPr>
          <w:headerReference w:type="default" r:id="rId6"/>
          <w:headerReference w:type="first" r:id="rId7"/>
          <w:footerReference w:type="default" r:id="rId8"/>
          <w:footerReference w:type="first" r:id="rId9"/>
          <w:footnotePr>
            <w:numFmt w:val="decimal"/>
          </w:footnotePr>
          <w:type w:val="nextPage"/>
          <w:pgSz w:w="12240" w:h="15840"/>
          <w:pgMar w:left="1800" w:right="1728" w:gutter="0" w:header="720" w:top="1440" w:footer="720" w:bottom="1440"/>
          <w:pgNumType w:start="1" w:fmt="decimal"/>
          <w:formProt w:val="false"/>
          <w:titlePg/>
          <w:textDirection w:val="lrTb"/>
          <w:docGrid w:type="default" w:linePitch="360" w:charSpace="0"/>
        </w:sectPr>
        <w:pStyle w:val="Bullet2"/>
        <w:widowControl/>
        <w:tabs>
          <w:tab w:val="clear" w:pos="720"/>
          <w:tab w:val="left" w:pos="792" w:leader="none"/>
        </w:tabs>
        <w:rPr>
          <w:sz w:val="24"/>
        </w:rPr>
      </w:pPr>
      <w:r>
        <w:rPr>
          <w:sz w:val="24"/>
        </w:rPr>
      </w:r>
    </w:p>
    <w:p>
      <w:pPr>
        <w:pStyle w:val="AppendixHeading"/>
        <w:widowControl/>
        <w:rPr/>
      </w:pPr>
      <w:bookmarkStart w:id="27" w:name="__RefHeading___Toc513004260"/>
      <w:bookmarkEnd w:id="27"/>
      <w:r>
        <w:rPr/>
        <w:t>Appendix A:   Detailed OFO Imbalance Report by Balancing Entity</w:t>
      </w:r>
    </w:p>
    <w:p>
      <w:pPr>
        <w:pStyle w:val="AppendixHeading1"/>
        <w:widowControl/>
        <w:numPr>
          <w:ilvl w:val="0"/>
          <w:numId w:val="9"/>
        </w:numPr>
        <w:rPr/>
      </w:pPr>
      <w:bookmarkStart w:id="28" w:name="__RefHeading___Toc513004261"/>
      <w:bookmarkEnd w:id="28"/>
      <w:r>
        <w:rPr/>
        <w:t>Definition of Balancing Entity Types</w:t>
      </w:r>
    </w:p>
    <w:p>
      <w:pPr>
        <w:pStyle w:val="BodyText1"/>
        <w:widowControl/>
        <w:rPr/>
      </w:pPr>
      <w:r>
        <w:rPr/>
        <w:t xml:space="preserve">There are three types of Balancing Entities on the PG&amp;E system.  The first type is a Core Procurement Group (CPG), which includes PG&amp;E’s Core Procurement Department and all Core Transport Agents (CTAs) – also called Gas Energy Service Providers.  These are indicated as ‘CTARGAS’.  </w:t>
      </w:r>
    </w:p>
    <w:p>
      <w:pPr>
        <w:pStyle w:val="BodyText1"/>
        <w:widowControl/>
        <w:rPr/>
      </w:pPr>
      <w:r>
        <w:rPr/>
        <w:t xml:space="preserve">The second type is an agent or gas marketer managing a Noncore Balancing Aggregation Agreement (NBAA).  These are indicated as “NBAA.”  An NBAA aggregates a group of noncore end-use customers into one entity for balancing purposes.  An NBAA group can range from several customers up to over one hundred individual end-use customers.  The NBAA agent is financially responsible for all imbalance charges, including OFO noncompliance charges.  </w:t>
      </w:r>
    </w:p>
    <w:p>
      <w:pPr>
        <w:pStyle w:val="BodyText1"/>
        <w:widowControl/>
        <w:rPr/>
      </w:pPr>
      <w:r>
        <w:rPr/>
        <w:t xml:space="preserve">The third type is an individual noncore end-use customer.  These individual customers maintain an imbalance account under their Natural Gas Service Agreement, indicated as “NGSA.”  Sometimes the balancing for these NGSAs is managed by the end-use customer, and sometimes by an agent or marketer; however, each is required to balance individually during an OFO event.  </w:t>
      </w:r>
    </w:p>
    <w:p>
      <w:pPr>
        <w:pStyle w:val="BodyText1"/>
        <w:widowControl/>
        <w:rPr/>
      </w:pPr>
      <w:r>
        <w:rPr/>
        <w:t xml:space="preserve">The number of Balancing Entities varies from month to month, with an average of about seventy-five during the quarter.  Table A-1 shows the approximate number of each balancing entity type and their average OFO day volume for the quarter.  </w:t>
      </w:r>
    </w:p>
    <w:p>
      <w:pPr>
        <w:pStyle w:val="TableHeading1"/>
        <w:widowControl/>
        <w:rPr/>
      </w:pPr>
      <w:bookmarkStart w:id="29" w:name="__RefHeading___Toc504897738"/>
      <w:bookmarkEnd w:id="29"/>
      <w:r>
        <w:rPr/>
        <w:t>Table A-1:   Balancing Entity Types</w:t>
      </w:r>
    </w:p>
    <w:tbl>
      <w:tblPr>
        <w:tblW w:w="6390" w:type="dxa"/>
        <w:jc w:val="start"/>
        <w:tblInd w:w="1728" w:type="dxa"/>
        <w:tblLayout w:type="fixed"/>
        <w:tblCellMar>
          <w:top w:w="0" w:type="dxa"/>
          <w:start w:w="108" w:type="dxa"/>
          <w:bottom w:w="0" w:type="dxa"/>
          <w:end w:w="108" w:type="dxa"/>
        </w:tblCellMar>
      </w:tblPr>
      <w:tblGrid>
        <w:gridCol w:w="2903"/>
        <w:gridCol w:w="1417"/>
        <w:gridCol w:w="2070"/>
      </w:tblGrid>
      <w:tr>
        <w:trPr/>
        <w:tc>
          <w:tcPr>
            <w:tcW w:w="2903" w:type="dxa"/>
            <w:tcBorders>
              <w:top w:val="single" w:sz="12" w:space="0" w:color="000000"/>
              <w:start w:val="single" w:sz="12" w:space="0" w:color="000000"/>
              <w:bottom w:val="single" w:sz="6" w:space="0" w:color="000000"/>
              <w:end w:val="single" w:sz="6" w:space="0" w:color="000000"/>
            </w:tcBorders>
          </w:tcPr>
          <w:p>
            <w:pPr>
              <w:pStyle w:val="Normal"/>
              <w:widowControl/>
              <w:spacing w:before="120" w:after="0"/>
              <w:jc w:val="center"/>
              <w:rPr>
                <w:sz w:val="22"/>
              </w:rPr>
            </w:pPr>
            <w:r>
              <w:rPr>
                <w:sz w:val="22"/>
              </w:rPr>
              <w:t>Balancing Entity Type</w:t>
            </w:r>
          </w:p>
        </w:tc>
        <w:tc>
          <w:tcPr>
            <w:tcW w:w="1417" w:type="dxa"/>
            <w:tcBorders>
              <w:top w:val="single" w:sz="12" w:space="0" w:color="000000"/>
              <w:bottom w:val="single" w:sz="6" w:space="0" w:color="000000"/>
              <w:end w:val="single" w:sz="6" w:space="0" w:color="000000"/>
            </w:tcBorders>
          </w:tcPr>
          <w:p>
            <w:pPr>
              <w:pStyle w:val="Normal"/>
              <w:widowControl/>
              <w:jc w:val="center"/>
              <w:rPr>
                <w:sz w:val="22"/>
              </w:rPr>
            </w:pPr>
            <w:r>
              <w:rPr>
                <w:sz w:val="22"/>
              </w:rPr>
              <w:t>Number of Entities</w:t>
            </w:r>
          </w:p>
        </w:tc>
        <w:tc>
          <w:tcPr>
            <w:tcW w:w="2070" w:type="dxa"/>
            <w:tcBorders>
              <w:top w:val="single" w:sz="12" w:space="0" w:color="000000"/>
              <w:start w:val="single" w:sz="6" w:space="0" w:color="000000"/>
              <w:bottom w:val="single" w:sz="6" w:space="0" w:color="000000"/>
              <w:end w:val="single" w:sz="12" w:space="0" w:color="000000"/>
            </w:tcBorders>
          </w:tcPr>
          <w:p>
            <w:pPr>
              <w:pStyle w:val="Normal"/>
              <w:widowControl/>
              <w:jc w:val="center"/>
              <w:rPr/>
            </w:pPr>
            <w:r>
              <w:rPr>
                <w:sz w:val="22"/>
              </w:rPr>
              <w:t xml:space="preserve">Average </w:t>
            </w:r>
            <w:r>
              <w:rPr>
                <w:b/>
                <w:bCs/>
                <w:sz w:val="22"/>
              </w:rPr>
              <w:t>OFO Day</w:t>
            </w:r>
            <w:r>
              <w:rPr>
                <w:sz w:val="22"/>
              </w:rPr>
              <w:t xml:space="preserve"> Volume, (Mdth)</w:t>
            </w:r>
          </w:p>
        </w:tc>
      </w:tr>
      <w:tr>
        <w:trPr/>
        <w:tc>
          <w:tcPr>
            <w:tcW w:w="2903" w:type="dxa"/>
            <w:tcBorders>
              <w:start w:val="single" w:sz="12" w:space="0" w:color="000000"/>
              <w:bottom w:val="single" w:sz="6" w:space="0" w:color="000000"/>
              <w:end w:val="single" w:sz="6" w:space="0" w:color="000000"/>
            </w:tcBorders>
          </w:tcPr>
          <w:p>
            <w:pPr>
              <w:pStyle w:val="Normal"/>
              <w:widowControl/>
              <w:spacing w:before="20" w:after="20"/>
              <w:rPr>
                <w:sz w:val="22"/>
              </w:rPr>
            </w:pPr>
            <w:r>
              <w:rPr>
                <w:sz w:val="22"/>
              </w:rPr>
              <w:t>Core Procurement Groups</w:t>
            </w:r>
          </w:p>
        </w:tc>
        <w:tc>
          <w:tcPr>
            <w:tcW w:w="1417" w:type="dxa"/>
            <w:tcBorders>
              <w:bottom w:val="single" w:sz="6" w:space="0" w:color="000000"/>
              <w:end w:val="single" w:sz="6" w:space="0" w:color="000000"/>
            </w:tcBorders>
          </w:tcPr>
          <w:p>
            <w:pPr>
              <w:pStyle w:val="Normal"/>
              <w:widowControl/>
              <w:spacing w:before="20" w:after="20"/>
              <w:jc w:val="center"/>
              <w:rPr>
                <w:sz w:val="22"/>
              </w:rPr>
            </w:pPr>
            <w:r>
              <w:rPr>
                <w:sz w:val="22"/>
              </w:rPr>
              <w:t>14-16</w:t>
            </w:r>
          </w:p>
        </w:tc>
        <w:tc>
          <w:tcPr>
            <w:tcW w:w="2070" w:type="dxa"/>
            <w:tcBorders>
              <w:start w:val="single" w:sz="6" w:space="0" w:color="000000"/>
              <w:bottom w:val="single" w:sz="6" w:space="0" w:color="000000"/>
              <w:end w:val="single" w:sz="12" w:space="0" w:color="000000"/>
            </w:tcBorders>
          </w:tcPr>
          <w:p>
            <w:pPr>
              <w:pStyle w:val="Normal"/>
              <w:widowControl/>
              <w:spacing w:before="20" w:after="20"/>
              <w:ind w:end="576"/>
              <w:jc w:val="end"/>
              <w:rPr>
                <w:sz w:val="22"/>
              </w:rPr>
            </w:pPr>
            <w:r>
              <w:rPr>
                <w:sz w:val="22"/>
              </w:rPr>
              <w:t>1065</w:t>
            </w:r>
          </w:p>
        </w:tc>
      </w:tr>
      <w:tr>
        <w:trPr/>
        <w:tc>
          <w:tcPr>
            <w:tcW w:w="2903" w:type="dxa"/>
            <w:tcBorders>
              <w:top w:val="single" w:sz="6" w:space="0" w:color="000000"/>
              <w:start w:val="single" w:sz="12" w:space="0" w:color="000000"/>
              <w:bottom w:val="single" w:sz="6" w:space="0" w:color="000000"/>
              <w:end w:val="single" w:sz="6" w:space="0" w:color="000000"/>
            </w:tcBorders>
          </w:tcPr>
          <w:p>
            <w:pPr>
              <w:pStyle w:val="Normal"/>
              <w:widowControl/>
              <w:spacing w:before="20" w:after="20"/>
              <w:rPr>
                <w:sz w:val="22"/>
              </w:rPr>
            </w:pPr>
            <w:r>
              <w:rPr>
                <w:sz w:val="22"/>
              </w:rPr>
              <w:t>NBAA Groups</w:t>
            </w:r>
          </w:p>
        </w:tc>
        <w:tc>
          <w:tcPr>
            <w:tcW w:w="1417" w:type="dxa"/>
            <w:tcBorders>
              <w:top w:val="single" w:sz="6" w:space="0" w:color="000000"/>
              <w:bottom w:val="single" w:sz="6" w:space="0" w:color="000000"/>
              <w:end w:val="single" w:sz="6" w:space="0" w:color="000000"/>
            </w:tcBorders>
          </w:tcPr>
          <w:p>
            <w:pPr>
              <w:pStyle w:val="Normal"/>
              <w:widowControl/>
              <w:spacing w:before="20" w:after="20"/>
              <w:jc w:val="center"/>
              <w:rPr>
                <w:sz w:val="22"/>
              </w:rPr>
            </w:pPr>
            <w:r>
              <w:rPr>
                <w:sz w:val="22"/>
              </w:rPr>
              <w:t>21-23</w:t>
            </w:r>
          </w:p>
        </w:tc>
        <w:tc>
          <w:tcPr>
            <w:tcW w:w="2070" w:type="dxa"/>
            <w:tcBorders>
              <w:top w:val="single" w:sz="6" w:space="0" w:color="000000"/>
              <w:start w:val="single" w:sz="6" w:space="0" w:color="000000"/>
              <w:bottom w:val="single" w:sz="6" w:space="0" w:color="000000"/>
              <w:end w:val="single" w:sz="12" w:space="0" w:color="000000"/>
            </w:tcBorders>
          </w:tcPr>
          <w:p>
            <w:pPr>
              <w:pStyle w:val="Normal"/>
              <w:widowControl/>
              <w:spacing w:before="20" w:after="20"/>
              <w:ind w:end="576"/>
              <w:jc w:val="end"/>
              <w:rPr>
                <w:sz w:val="22"/>
              </w:rPr>
            </w:pPr>
            <w:r>
              <w:rPr>
                <w:sz w:val="22"/>
              </w:rPr>
              <w:t>1365</w:t>
            </w:r>
          </w:p>
        </w:tc>
      </w:tr>
      <w:tr>
        <w:trPr/>
        <w:tc>
          <w:tcPr>
            <w:tcW w:w="2903" w:type="dxa"/>
            <w:tcBorders>
              <w:top w:val="single" w:sz="6" w:space="0" w:color="000000"/>
              <w:start w:val="single" w:sz="12" w:space="0" w:color="000000"/>
              <w:end w:val="single" w:sz="6" w:space="0" w:color="000000"/>
            </w:tcBorders>
          </w:tcPr>
          <w:p>
            <w:pPr>
              <w:pStyle w:val="Normal"/>
              <w:widowControl/>
              <w:spacing w:before="20" w:after="20"/>
              <w:rPr>
                <w:sz w:val="22"/>
              </w:rPr>
            </w:pPr>
            <w:r>
              <w:rPr>
                <w:sz w:val="22"/>
              </w:rPr>
              <w:t>Individual NGSAs</w:t>
            </w:r>
          </w:p>
        </w:tc>
        <w:tc>
          <w:tcPr>
            <w:tcW w:w="1417" w:type="dxa"/>
            <w:tcBorders>
              <w:top w:val="single" w:sz="6" w:space="0" w:color="000000"/>
              <w:end w:val="single" w:sz="6" w:space="0" w:color="000000"/>
            </w:tcBorders>
          </w:tcPr>
          <w:p>
            <w:pPr>
              <w:pStyle w:val="Normal"/>
              <w:widowControl/>
              <w:spacing w:before="20" w:after="20"/>
              <w:jc w:val="center"/>
              <w:rPr>
                <w:sz w:val="22"/>
              </w:rPr>
            </w:pPr>
            <w:r>
              <w:rPr>
                <w:sz w:val="22"/>
              </w:rPr>
              <w:t>13-25</w:t>
            </w:r>
          </w:p>
        </w:tc>
        <w:tc>
          <w:tcPr>
            <w:tcW w:w="2070" w:type="dxa"/>
            <w:tcBorders>
              <w:top w:val="single" w:sz="6" w:space="0" w:color="000000"/>
              <w:start w:val="single" w:sz="6" w:space="0" w:color="000000"/>
              <w:end w:val="single" w:sz="12" w:space="0" w:color="000000"/>
            </w:tcBorders>
          </w:tcPr>
          <w:p>
            <w:pPr>
              <w:pStyle w:val="Normal"/>
              <w:widowControl/>
              <w:spacing w:before="20" w:after="20"/>
              <w:ind w:end="576"/>
              <w:jc w:val="end"/>
              <w:rPr>
                <w:sz w:val="22"/>
              </w:rPr>
            </w:pPr>
            <w:r>
              <w:rPr>
                <w:sz w:val="22"/>
              </w:rPr>
              <w:t>82</w:t>
            </w:r>
          </w:p>
        </w:tc>
      </w:tr>
      <w:tr>
        <w:trPr/>
        <w:tc>
          <w:tcPr>
            <w:tcW w:w="2903" w:type="dxa"/>
            <w:tcBorders>
              <w:top w:val="single" w:sz="6" w:space="0" w:color="000000"/>
              <w:start w:val="single" w:sz="12" w:space="0" w:color="000000"/>
              <w:bottom w:val="single" w:sz="12" w:space="0" w:color="000000"/>
              <w:end w:val="single" w:sz="6" w:space="0" w:color="000000"/>
            </w:tcBorders>
          </w:tcPr>
          <w:p>
            <w:pPr>
              <w:pStyle w:val="Normal"/>
              <w:widowControl/>
              <w:spacing w:before="20" w:after="20"/>
              <w:rPr>
                <w:b/>
                <w:sz w:val="22"/>
              </w:rPr>
            </w:pPr>
            <w:r>
              <w:rPr>
                <w:b/>
                <w:sz w:val="22"/>
              </w:rPr>
              <w:t xml:space="preserve">   </w:t>
            </w:r>
            <w:r>
              <w:rPr>
                <w:b/>
                <w:sz w:val="22"/>
              </w:rPr>
              <w:t>Total</w:t>
            </w:r>
          </w:p>
        </w:tc>
        <w:tc>
          <w:tcPr>
            <w:tcW w:w="1417" w:type="dxa"/>
            <w:tcBorders>
              <w:top w:val="single" w:sz="6" w:space="0" w:color="000000"/>
              <w:bottom w:val="single" w:sz="12" w:space="0" w:color="000000"/>
              <w:end w:val="single" w:sz="6" w:space="0" w:color="000000"/>
            </w:tcBorders>
          </w:tcPr>
          <w:p>
            <w:pPr>
              <w:pStyle w:val="Normal"/>
              <w:widowControl/>
              <w:spacing w:before="20" w:after="20"/>
              <w:jc w:val="center"/>
              <w:rPr>
                <w:b/>
                <w:sz w:val="22"/>
              </w:rPr>
            </w:pPr>
            <w:r>
              <w:rPr>
                <w:b/>
                <w:sz w:val="22"/>
              </w:rPr>
              <w:t>~50</w:t>
            </w:r>
          </w:p>
        </w:tc>
        <w:tc>
          <w:tcPr>
            <w:tcW w:w="2070" w:type="dxa"/>
            <w:tcBorders>
              <w:top w:val="single" w:sz="6" w:space="0" w:color="000000"/>
              <w:start w:val="single" w:sz="6" w:space="0" w:color="000000"/>
              <w:bottom w:val="single" w:sz="12" w:space="0" w:color="000000"/>
              <w:end w:val="single" w:sz="12" w:space="0" w:color="000000"/>
            </w:tcBorders>
          </w:tcPr>
          <w:p>
            <w:pPr>
              <w:pStyle w:val="Normal"/>
              <w:widowControl/>
              <w:spacing w:before="20" w:after="20"/>
              <w:ind w:end="576"/>
              <w:jc w:val="end"/>
              <w:rPr>
                <w:b/>
                <w:sz w:val="22"/>
              </w:rPr>
            </w:pPr>
            <w:r>
              <w:rPr>
                <w:b/>
                <w:sz w:val="22"/>
              </w:rPr>
              <w:t>2512</w:t>
            </w:r>
          </w:p>
        </w:tc>
      </w:tr>
    </w:tbl>
    <w:p>
      <w:pPr>
        <w:pStyle w:val="BodyText1"/>
        <w:widowControl/>
        <w:spacing w:before="180" w:after="0"/>
        <w:rPr/>
      </w:pPr>
      <w:r>
        <w:rPr/>
        <w:t>Note that the average volume in Table A-1 is based only upon the demand on the OFO days during the quarter.</w:t>
      </w:r>
    </w:p>
    <w:p>
      <w:pPr>
        <w:pStyle w:val="AppendixHeading1"/>
        <w:widowControl/>
        <w:numPr>
          <w:ilvl w:val="0"/>
          <w:numId w:val="5"/>
        </w:numPr>
        <w:rPr/>
      </w:pPr>
      <w:bookmarkStart w:id="30" w:name="__RefHeading___Toc513004262"/>
      <w:bookmarkEnd w:id="30"/>
      <w:r>
        <w:rPr/>
        <w:t>Balancing Entity Imbalance Data Elements</w:t>
      </w:r>
    </w:p>
    <w:p>
      <w:pPr>
        <w:pStyle w:val="BodyText1"/>
        <w:widowControl/>
        <w:rPr/>
      </w:pPr>
      <w:r>
        <w:rPr/>
        <w:t xml:space="preserve">The data in this Appendix is organized by each of the eleven OFO events during the quarter.  This includes the daily supply, usage and imbalance quantities for the OFO Day and 3-days-prior for each balancing entity.  Also, targeted entities during customer-specific OFOs and various calculations of significant contributor are included, along with a summary of these by balancing entity for all OFOs combined.  </w:t>
      </w:r>
    </w:p>
    <w:p>
      <w:pPr>
        <w:pStyle w:val="BodyText1"/>
        <w:keepNext w:val="true"/>
        <w:widowControl/>
        <w:rPr/>
      </w:pPr>
      <w:r>
        <w:rPr/>
        <w:t>The following describes the data elements in the Appendix A tables:</w:t>
      </w:r>
    </w:p>
    <w:p>
      <w:pPr>
        <w:pStyle w:val="Normal"/>
        <w:widowControl/>
        <w:spacing w:before="120" w:after="0"/>
        <w:ind w:start="720" w:end="0"/>
        <w:rPr/>
      </w:pPr>
      <w:r>
        <w:rPr>
          <w:i/>
          <w:sz w:val="24"/>
          <w:u w:val="single"/>
        </w:rPr>
        <w:t>Balancing Entity ID #:</w:t>
      </w:r>
      <w:r>
        <w:rPr>
          <w:sz w:val="24"/>
        </w:rPr>
        <w:t xml:space="preserve">  Each balancing entity is identified by a numerical identifier and the type of balancing entity, and not by name.  If a customer operates two separate balancing entity accounts (e.g. an NBAA and a CPG (or CTARGAS)), the same numerical identifier is used for each entity.</w:t>
      </w:r>
    </w:p>
    <w:p>
      <w:pPr>
        <w:pStyle w:val="Normal"/>
        <w:widowControl/>
        <w:spacing w:before="120" w:after="0"/>
        <w:ind w:start="720" w:end="0"/>
        <w:rPr/>
      </w:pPr>
      <w:r>
        <w:rPr>
          <w:i/>
          <w:sz w:val="24"/>
          <w:u w:val="single"/>
        </w:rPr>
        <w:t>Balancing Entity Type:</w:t>
      </w:r>
      <w:r>
        <w:rPr>
          <w:sz w:val="24"/>
        </w:rPr>
        <w:t xml:space="preserve">  (See discussion above.)</w:t>
      </w:r>
    </w:p>
    <w:p>
      <w:pPr>
        <w:pStyle w:val="Normal"/>
        <w:widowControl/>
        <w:spacing w:before="120" w:after="0"/>
        <w:ind w:start="720" w:end="0"/>
        <w:rPr/>
      </w:pPr>
      <w:r>
        <w:rPr>
          <w:i/>
          <w:sz w:val="24"/>
          <w:u w:val="single"/>
        </w:rPr>
        <w:t>Supply Scheduled Volume:</w:t>
      </w:r>
      <w:r>
        <w:rPr>
          <w:sz w:val="24"/>
        </w:rPr>
        <w:t xml:space="preserve">  The quantity of gas supply, in decatherms (Dths), received into the PG&amp;E system for delivery to the end-use customer(s) for that balancing entity.  This quantity is the result of the gas supply nomination process.  This process is the same for all types of balancing entities.</w:t>
      </w:r>
    </w:p>
    <w:p>
      <w:pPr>
        <w:pStyle w:val="Normal"/>
        <w:widowControl/>
        <w:spacing w:before="120" w:after="0"/>
        <w:ind w:start="720" w:end="0"/>
        <w:rPr/>
      </w:pPr>
      <w:r>
        <w:rPr>
          <w:i/>
          <w:sz w:val="24"/>
          <w:u w:val="single"/>
        </w:rPr>
        <w:t>Usage:</w:t>
      </w:r>
      <w:r>
        <w:rPr>
          <w:sz w:val="24"/>
        </w:rPr>
        <w:t xml:space="preserve">  The quantity of gas, in decatherms (Dths), that is delivered off the PG&amp;E system to the end-use customer(s) for that balancing entity.  This is the demand deemed to be used, in order to determine the daily imbalance.  For noncore customers (i.e., NBAA or NGSA), the usage is equal to the actual daily meter reading quantities.  For core customers (i.e. CTARGAS) the usage is equal to the Determined Usage for all non-OFO days and is equal to the 24-Hour Forecast for all OFO Days.  It is important to note that both the Determined Usage and the 24-Hour Forecast are forecasts that are made 24-hours and 48-hours prior to the end of the gas day, respectively.  </w:t>
      </w:r>
    </w:p>
    <w:p>
      <w:pPr>
        <w:pStyle w:val="Normal"/>
        <w:widowControl/>
        <w:spacing w:before="120" w:after="0"/>
        <w:ind w:start="720" w:end="0"/>
        <w:rPr/>
      </w:pPr>
      <w:r>
        <w:rPr>
          <w:i/>
          <w:sz w:val="24"/>
          <w:u w:val="single"/>
        </w:rPr>
        <w:t>Daily Imbalance:</w:t>
      </w:r>
      <w:r>
        <w:rPr>
          <w:sz w:val="24"/>
        </w:rPr>
        <w:t xml:space="preserve">  This is simply the </w:t>
      </w:r>
      <w:r>
        <w:rPr>
          <w:i/>
          <w:sz w:val="24"/>
        </w:rPr>
        <w:t>Supply Scheduled Volume</w:t>
      </w:r>
      <w:r>
        <w:rPr>
          <w:sz w:val="24"/>
        </w:rPr>
        <w:t xml:space="preserve"> minus the </w:t>
      </w:r>
      <w:r>
        <w:rPr>
          <w:i/>
          <w:sz w:val="24"/>
        </w:rPr>
        <w:t>Usage.</w:t>
      </w:r>
      <w:r>
        <w:rPr>
          <w:sz w:val="24"/>
        </w:rPr>
        <w:t xml:space="preserve">  A positive number indicates an over-delivery of supply (more supply than demand) and a negative number indicates an under-delivery of supply (less supply that demand).</w:t>
      </w:r>
    </w:p>
    <w:p>
      <w:pPr>
        <w:pStyle w:val="Normal"/>
        <w:widowControl/>
        <w:spacing w:before="120" w:after="0"/>
        <w:ind w:start="720" w:end="0"/>
        <w:rPr/>
      </w:pPr>
      <w:r>
        <w:rPr>
          <w:i/>
          <w:sz w:val="24"/>
          <w:u w:val="single"/>
        </w:rPr>
        <w:t>3-Day Prior Net Imbalance:</w:t>
      </w:r>
      <w:r>
        <w:rPr>
          <w:sz w:val="24"/>
        </w:rPr>
        <w:t xml:space="preserve">  The sum of the </w:t>
      </w:r>
      <w:r>
        <w:rPr>
          <w:i/>
          <w:sz w:val="24"/>
        </w:rPr>
        <w:t>Daily Imbalances</w:t>
      </w:r>
      <w:r>
        <w:rPr>
          <w:sz w:val="24"/>
        </w:rPr>
        <w:t xml:space="preserve"> for the three days prior to the OFO Day.  </w:t>
      </w:r>
    </w:p>
    <w:p>
      <w:pPr>
        <w:pStyle w:val="Normal"/>
        <w:widowControl/>
        <w:spacing w:before="120" w:after="0"/>
        <w:ind w:start="720" w:end="0"/>
        <w:rPr/>
      </w:pPr>
      <w:r>
        <w:rPr>
          <w:i/>
          <w:sz w:val="24"/>
          <w:u w:val="single"/>
        </w:rPr>
        <w:t>3-Day Prior Percentage Imbalance:</w:t>
      </w:r>
      <w:r>
        <w:rPr>
          <w:sz w:val="24"/>
        </w:rPr>
        <w:t xml:space="preserve">  The </w:t>
      </w:r>
      <w:r>
        <w:rPr>
          <w:i/>
          <w:sz w:val="24"/>
        </w:rPr>
        <w:t xml:space="preserve">3-Day Prior Net Imbalance </w:t>
      </w:r>
      <w:r>
        <w:rPr>
          <w:sz w:val="24"/>
        </w:rPr>
        <w:t xml:space="preserve">divided by the total </w:t>
      </w:r>
      <w:r>
        <w:rPr>
          <w:i/>
          <w:sz w:val="24"/>
        </w:rPr>
        <w:t>Usage</w:t>
      </w:r>
      <w:r>
        <w:rPr>
          <w:sz w:val="24"/>
        </w:rPr>
        <w:t xml:space="preserve"> for the three days prior to the OFO Day.  This represents the average percentage imbalance for these three days.</w:t>
      </w:r>
    </w:p>
    <w:p>
      <w:pPr>
        <w:pStyle w:val="Normal"/>
        <w:widowControl/>
        <w:spacing w:before="120" w:after="0"/>
        <w:ind w:start="720" w:end="0"/>
        <w:rPr>
          <w:sz w:val="24"/>
          <w:u w:val="single"/>
        </w:rPr>
      </w:pPr>
      <w:r>
        <w:rPr>
          <w:i/>
          <w:sz w:val="24"/>
          <w:u w:val="single"/>
        </w:rPr>
        <w:t>Targeted under Customer-Specific OFO:</w:t>
      </w:r>
      <w:r>
        <w:rPr>
          <w:sz w:val="24"/>
        </w:rPr>
        <w:t xml:space="preserve">  This column indicates those balancing entities that were targeted under each customer-specific OFO. </w:t>
      </w:r>
    </w:p>
    <w:p>
      <w:pPr>
        <w:sectPr>
          <w:headerReference w:type="default" r:id="rId10"/>
          <w:headerReference w:type="first" r:id="rId11"/>
          <w:footerReference w:type="default" r:id="rId12"/>
          <w:footerReference w:type="first" r:id="rId13"/>
          <w:footnotePr>
            <w:numFmt w:val="decimal"/>
          </w:footnotePr>
          <w:type w:val="nextPage"/>
          <w:pgSz w:w="12240" w:h="15840"/>
          <w:pgMar w:left="1800" w:right="1800" w:gutter="0" w:header="720" w:top="1440" w:footer="864" w:bottom="1440"/>
          <w:pgNumType w:start="1" w:fmt="decimal"/>
          <w:formProt w:val="false"/>
          <w:titlePg/>
          <w:textDirection w:val="lrTb"/>
          <w:docGrid w:type="default" w:linePitch="360" w:charSpace="0"/>
        </w:sectPr>
        <w:pStyle w:val="Normal"/>
        <w:widowControl/>
        <w:spacing w:before="120" w:after="0"/>
        <w:ind w:start="720" w:end="0"/>
        <w:rPr/>
      </w:pPr>
      <w:r>
        <w:rPr>
          <w:i/>
          <w:sz w:val="24"/>
          <w:u w:val="single"/>
        </w:rPr>
        <w:t>Significant Contributor:</w:t>
      </w:r>
      <w:r>
        <w:rPr>
          <w:sz w:val="24"/>
        </w:rPr>
        <w:t xml:space="preserve">  Two significant contributor columns are shown.  The first indicates those balancing entities with total imbalances greater than 5,000 Dth and 10 percent of its usage in the three days leading up to each system-wide or customer-specific OFO, as defined in the OFO Settlement.</w:t>
      </w:r>
      <w:r>
        <w:rPr>
          <w:rStyle w:val="FootnoteCharacters"/>
          <w:rStyle w:val="FootnoteReference"/>
          <w:sz w:val="24"/>
        </w:rPr>
        <w:footnoteReference w:id="15"/>
      </w:r>
      <w:r>
        <w:rPr>
          <w:sz w:val="24"/>
        </w:rPr>
        <w:t xml:space="preserve">  The second significant contributor column identifies those balancing entities which increased both their supply and imbalance by more than 5,000 Dth on the OFO day, during a customer-specific OFO.</w:t>
      </w:r>
    </w:p>
    <w:p>
      <w:pPr>
        <w:pStyle w:val="AppendixHeading"/>
        <w:widowControl/>
        <w:rPr/>
      </w:pPr>
      <w:bookmarkStart w:id="31" w:name="__RefHeading___Toc513004263"/>
      <w:bookmarkEnd w:id="31"/>
      <w:r>
        <w:rPr/>
        <w:t>Appendix B:   Detailed OFO Imbalance Report for Pipeline</w:t>
      </w:r>
    </w:p>
    <w:p>
      <w:pPr>
        <w:pStyle w:val="AppendixHeading1"/>
        <w:widowControl/>
        <w:numPr>
          <w:ilvl w:val="0"/>
          <w:numId w:val="2"/>
        </w:numPr>
        <w:rPr/>
      </w:pPr>
      <w:bookmarkStart w:id="32" w:name="__RefHeading___Toc513004264"/>
      <w:bookmarkEnd w:id="32"/>
      <w:r>
        <w:rPr/>
        <w:t>Data Background:</w:t>
      </w:r>
    </w:p>
    <w:p>
      <w:pPr>
        <w:pStyle w:val="BodyText1"/>
        <w:widowControl/>
        <w:rPr/>
      </w:pPr>
      <w:r>
        <w:rPr/>
        <w:t xml:space="preserve">All data in this Appendix related to gas volumes are expressed in thousands of decatherms (Mdth) and are for the gas day, which begins at 7:00 AM on the date and ends at 7:00 AM on the following day.  This is operating data that is compiled approximately 4 hours after the end of the gas day and represents the best information about flows, volumes, and inventories available at that time.  </w:t>
      </w:r>
    </w:p>
    <w:p>
      <w:pPr>
        <w:pStyle w:val="BodyText1"/>
        <w:widowControl/>
        <w:rPr/>
      </w:pPr>
      <w:r>
        <w:rPr/>
        <w:t xml:space="preserve">The ending inventory on the OFO day will often not exceed the criteria for an OFO. OFOs are called using the forecast of the ending inventory on the OFO day, and for this reason, the actual ending inventory will be lower than the forecast ending inventory if the OFO has been effective.  </w:t>
      </w:r>
    </w:p>
    <w:p>
      <w:pPr>
        <w:pStyle w:val="BodyText1"/>
        <w:widowControl/>
        <w:rPr/>
      </w:pPr>
      <w:r>
        <w:rPr/>
        <w:t xml:space="preserve">The following sign convention has been employed in the spreadsheet.  Any activity that decreases the pipeline system inventory such as a negative customer imbalance or a storage injection is shown with a (-) sign.  Activities that increase the pipeline system inventory are positive and are shown without a sign. </w:t>
      </w:r>
    </w:p>
    <w:p>
      <w:pPr>
        <w:pStyle w:val="AppendixHeading1"/>
        <w:widowControl/>
        <w:numPr>
          <w:ilvl w:val="0"/>
          <w:numId w:val="7"/>
        </w:numPr>
        <w:rPr/>
      </w:pPr>
      <w:bookmarkStart w:id="33" w:name="__RefHeading___Toc513004265"/>
      <w:bookmarkEnd w:id="33"/>
      <w:r>
        <w:rPr/>
        <w:t>Data Elements</w:t>
      </w:r>
    </w:p>
    <w:p>
      <w:pPr>
        <w:pStyle w:val="Normal"/>
        <w:widowControl/>
        <w:spacing w:before="120" w:after="0"/>
        <w:ind w:start="576" w:end="0"/>
        <w:rPr/>
      </w:pPr>
      <w:r>
        <w:rPr>
          <w:i/>
          <w:sz w:val="24"/>
          <w:u w:val="single"/>
        </w:rPr>
        <w:t>Beginning Inventory</w:t>
      </w:r>
      <w:r>
        <w:rPr>
          <w:sz w:val="24"/>
        </w:rPr>
        <w:t>:  The calculated volume of gas in the PG&amp;E pipeline system at the beginning of the gas day.</w:t>
      </w:r>
    </w:p>
    <w:p>
      <w:pPr>
        <w:pStyle w:val="Normal"/>
        <w:widowControl/>
        <w:spacing w:before="120" w:after="0"/>
        <w:ind w:start="576" w:end="0"/>
        <w:rPr/>
      </w:pPr>
      <w:r>
        <w:rPr>
          <w:i/>
          <w:sz w:val="24"/>
          <w:u w:val="single"/>
        </w:rPr>
        <w:t>Ending Inventory</w:t>
      </w:r>
      <w:r>
        <w:rPr>
          <w:sz w:val="24"/>
        </w:rPr>
        <w:t>:  The calculated volume of gas in the PG&amp;E pipeline system at the end of the gas day.  This forecast of ending inventory is used to determine whether an OFO is called, and is forecast and reported on the Pipe Ranger 5 times each day.</w:t>
      </w:r>
    </w:p>
    <w:p>
      <w:pPr>
        <w:pStyle w:val="Normal"/>
        <w:widowControl/>
        <w:spacing w:before="120" w:after="0"/>
        <w:ind w:start="576" w:end="0"/>
        <w:rPr/>
      </w:pPr>
      <w:r>
        <w:rPr>
          <w:i/>
          <w:sz w:val="24"/>
          <w:u w:val="single"/>
        </w:rPr>
        <w:t>Pipeline Storage Balancing</w:t>
      </w:r>
      <w:r>
        <w:rPr>
          <w:sz w:val="24"/>
        </w:rPr>
        <w:t>:  The PG&amp;E storage that was used to reduce the affect of imbalances on changes in the pipeline system inventory.  This value is calculated by subtracting the scheduled storage activity including core, noncore, and GGMC Park/Lend activity from the net PG&amp;E storage activity.  There is 50 MMcf of daily storage injection and 70 MMcf of daily storage withdrawal assigned to the pipeline storage balancing activity.</w:t>
      </w:r>
    </w:p>
    <w:p>
      <w:pPr>
        <w:pStyle w:val="Normal"/>
        <w:widowControl/>
        <w:spacing w:before="120" w:after="0"/>
        <w:ind w:start="576" w:end="0"/>
        <w:rPr/>
      </w:pPr>
      <w:r>
        <w:rPr>
          <w:i/>
          <w:sz w:val="24"/>
          <w:u w:val="single"/>
        </w:rPr>
        <w:t>Total Customer Imbalance</w:t>
      </w:r>
      <w:r>
        <w:rPr>
          <w:sz w:val="24"/>
        </w:rPr>
        <w:t>:  The total customer imbalance is the total supply scheduled for on-system customers minus the total on-system customer usage.  The usage for noncore customers is based on operational meters.  The usage for core customers is based on the Determined Usage.  The Core Determined Usage is derived from the core load forecast prepared at approximately 7:30 AM at the beginning of the gas day.</w:t>
      </w:r>
    </w:p>
    <w:p>
      <w:pPr>
        <w:pStyle w:val="Normal"/>
        <w:widowControl/>
        <w:spacing w:before="120" w:after="0"/>
        <w:ind w:start="576" w:end="0"/>
        <w:rPr/>
      </w:pPr>
      <w:r>
        <w:rPr>
          <w:i/>
          <w:sz w:val="24"/>
          <w:u w:val="single"/>
        </w:rPr>
        <w:t>Pipeline Imbalance Detail</w:t>
      </w:r>
      <w:r>
        <w:rPr>
          <w:sz w:val="24"/>
        </w:rPr>
        <w:t>:  This calculation is provided to show the contribution of core load forecast error on the day of gas flow to the total pipeline imbalance.</w:t>
      </w:r>
    </w:p>
    <w:p>
      <w:pPr>
        <w:pStyle w:val="Normal"/>
        <w:widowControl/>
        <w:spacing w:before="120" w:after="0"/>
        <w:ind w:start="576" w:end="0"/>
        <w:rPr/>
      </w:pPr>
      <w:r>
        <w:rPr>
          <w:i/>
          <w:sz w:val="24"/>
          <w:u w:val="single"/>
        </w:rPr>
        <w:t>Due to Core Forecast Differences</w:t>
      </w:r>
      <w:r>
        <w:rPr>
          <w:sz w:val="24"/>
        </w:rPr>
        <w:t>:  This is the difference between the Core Determined Usage which is forecast at the beginning of the gas day and the Core calculated usage.  The Core usage is calculated approximately four hours after the end of the gas day using daily data on interconnect and storage volumes, noncore daily usage volumes from the Automatic Meter Reading (AMR) system, and the change in the pipeline system inventory.</w:t>
      </w:r>
    </w:p>
    <w:p>
      <w:pPr>
        <w:pStyle w:val="Normal"/>
        <w:widowControl/>
        <w:spacing w:before="120" w:after="0"/>
        <w:ind w:start="576" w:end="0"/>
        <w:rPr/>
      </w:pPr>
      <w:r>
        <w:rPr>
          <w:i/>
          <w:sz w:val="24"/>
          <w:u w:val="single"/>
        </w:rPr>
        <w:t>All Other Causes</w:t>
      </w:r>
      <w:r>
        <w:rPr>
          <w:sz w:val="24"/>
        </w:rPr>
        <w:t>:  This represents the sum of all the other contributors to pipeline imbalances including imbalances with interconnecting pipelines and storage facilities (other than PG&amp;E), imbalance in California Gas Well production, shrinkage over or under collection.</w:t>
      </w:r>
    </w:p>
    <w:p>
      <w:pPr>
        <w:pStyle w:val="Normal"/>
        <w:widowControl/>
        <w:spacing w:before="120" w:after="0"/>
        <w:ind w:start="576" w:end="0"/>
        <w:rPr/>
      </w:pPr>
      <w:r>
        <w:rPr>
          <w:i/>
          <w:sz w:val="24"/>
          <w:u w:val="single"/>
        </w:rPr>
        <w:t>GGMC Net Scheduled Pack Draft</w:t>
      </w:r>
      <w:r>
        <w:rPr>
          <w:sz w:val="24"/>
        </w:rPr>
        <w:t>:  This value is the net sum of the scheduled nominations for PG&amp;E storage activity for scheduled GGMC Parks, Repays, Lends, and Unparks for the gas day.  When the value is a negative (-) it means that storage injection is required to offset a net Pack (Park or Repay) position.</w:t>
      </w:r>
    </w:p>
    <w:p>
      <w:pPr>
        <w:pStyle w:val="Normal"/>
        <w:widowControl/>
        <w:spacing w:before="120" w:after="0"/>
        <w:ind w:start="576" w:end="0"/>
        <w:rPr/>
      </w:pPr>
      <w:r>
        <w:rPr>
          <w:i/>
          <w:sz w:val="24"/>
          <w:u w:val="single"/>
        </w:rPr>
        <w:t>GGMC Net Pack Allocated</w:t>
      </w:r>
      <w:r>
        <w:rPr>
          <w:sz w:val="24"/>
        </w:rPr>
        <w:t>:  This is the PG&amp;E storage injection capacity available to GGMC to facilitate their daily parking (Parks and Repays) activity.  The amount of daily parking is limited to this quantity so that this activity does not adversely increase the pipeline system inventory and represents one of the measures to determine whether there was an imbalance created by the GGMC on any given day.</w:t>
      </w:r>
    </w:p>
    <w:p>
      <w:pPr>
        <w:pStyle w:val="Normal"/>
        <w:widowControl/>
        <w:spacing w:before="120" w:after="0"/>
        <w:ind w:start="576" w:end="0"/>
        <w:rPr/>
      </w:pPr>
      <w:r>
        <w:rPr>
          <w:i/>
          <w:sz w:val="24"/>
          <w:u w:val="single"/>
        </w:rPr>
        <w:t>GGMC Net Draft Allocated</w:t>
      </w:r>
      <w:r>
        <w:rPr>
          <w:sz w:val="24"/>
        </w:rPr>
        <w:t>:  This is the PG&amp;E storage withdrawal capacity available to GGMC to facilitate their daily lending activity.  The amount of daily lending is limited to this quantity so that this activity does not adversely decrease the pipeline system inventory and represents one of the measures to determine whether there was an imbalance created by the GGMC on any given day.</w:t>
      </w:r>
    </w:p>
    <w:p>
      <w:pPr>
        <w:pStyle w:val="Normal"/>
        <w:widowControl/>
        <w:spacing w:before="120" w:after="0"/>
        <w:ind w:start="576" w:end="0"/>
        <w:rPr/>
      </w:pPr>
      <w:r>
        <w:rPr>
          <w:i/>
          <w:sz w:val="24"/>
          <w:u w:val="single"/>
        </w:rPr>
        <w:t>GGMC Imbalance</w:t>
      </w:r>
      <w:r>
        <w:rPr>
          <w:sz w:val="24"/>
        </w:rPr>
        <w:t xml:space="preserve">:  This is determined by calculating the amount the </w:t>
      </w:r>
      <w:r>
        <w:rPr>
          <w:i/>
          <w:sz w:val="24"/>
        </w:rPr>
        <w:t>GGMC Scheduled Pack Draft</w:t>
      </w:r>
      <w:r>
        <w:rPr>
          <w:sz w:val="24"/>
        </w:rPr>
        <w:t xml:space="preserve"> is outside the </w:t>
      </w:r>
      <w:r>
        <w:rPr>
          <w:i/>
          <w:sz w:val="24"/>
        </w:rPr>
        <w:t>Allocated Pack-Draft</w:t>
      </w:r>
      <w:r>
        <w:rPr>
          <w:sz w:val="24"/>
        </w:rPr>
        <w:t xml:space="preserve"> range.  These values represent the impact of the GGMC on the pipeline system inventory on any given day.  </w:t>
      </w:r>
    </w:p>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864"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ook Antiqua">
    <w:charset w:val="00" w:characterSet="windows-1252"/>
    <w:family w:val="roman"/>
    <w:pitch w:val="variable"/>
  </w:font>
  <w:font w:name="Wingdings">
    <w:charset w:val="02"/>
    <w:family w:val="auto"/>
    <w:pitch w:val="default"/>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rPr>
      <w:t xml:space="preserve">Page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0</w:t>
    </w:r>
    <w:r>
      <w:rPr>
        <w:rStyle w:val="PageNumber"/>
        <w:sz w:val="2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lang w:val="en-CA" w:eastAsia="en-CA"/>
      </w:rPr>
    </w:pPr>
    <w:r>
      <w:rPr>
        <w:sz w:val="22"/>
        <w:lang w:val="en-CA" w:eastAsia="en-CA"/>
      </w:rPr>
      <mc:AlternateContent>
        <mc:Choice Requires="wpg">
          <w:drawing>
            <wp:anchor behindDoc="1" distT="0" distB="0" distL="114935" distR="114935" simplePos="0" locked="0" layoutInCell="1" allowOverlap="1" relativeHeight="2">
              <wp:simplePos x="0" y="0"/>
              <wp:positionH relativeFrom="column">
                <wp:posOffset>1994535</wp:posOffset>
              </wp:positionH>
              <wp:positionV relativeFrom="paragraph">
                <wp:posOffset>10160</wp:posOffset>
              </wp:positionV>
              <wp:extent cx="3566160" cy="548640"/>
              <wp:effectExtent l="9525" t="9525" r="10160" b="9525"/>
              <wp:wrapNone/>
              <wp:docPr id="1" name=""/>
              <a:graphic xmlns:a="http://schemas.openxmlformats.org/drawingml/2006/main">
                <a:graphicData uri="http://schemas.microsoft.com/office/word/2010/wordprocessingGroup">
                  <wpg:wgp>
                    <wpg:cNvGrpSpPr/>
                    <wpg:grpSpPr>
                      <a:xfrm>
                        <a:off x="0" y="0"/>
                        <a:ext cx="3566160" cy="548640"/>
                        <a:chOff x="0" y="0"/>
                        <a:chExt cx="3566160" cy="548640"/>
                      </a:xfrm>
                    </wpg:grpSpPr>
                    <wps:wsp>
                      <wps:cNvPr id="2" name=""/>
                      <wps:cNvSpPr/>
                      <wps:spPr>
                        <a:xfrm>
                          <a:off x="0" y="0"/>
                          <a:ext cx="3566160" cy="5486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19080">
                          <a:solidFill>
                            <a:srgbClr val="000000"/>
                          </a:solidFill>
                          <a:round/>
                        </a:ln>
                      </wps:spPr>
                      <wps:style>
                        <a:lnRef idx="0"/>
                        <a:fillRef idx="0"/>
                        <a:effectRef idx="0"/>
                        <a:fontRef idx="minor"/>
                      </wps:style>
                      <wps:bodyPr/>
                    </wps:wsp>
                    <wps:wsp>
                      <wps:cNvSpPr txBox="1"/>
                      <wps:spPr>
                        <a:xfrm>
                          <a:off x="0" y="0"/>
                          <a:ext cx="3566160" cy="548640"/>
                        </a:xfrm>
                        <a:prstGeom prst="rect">
                          <a:avLst/>
                        </a:prstGeom>
                        <a:noFill/>
                        <a:ln w="0">
                          <a:noFill/>
                        </a:ln>
                      </wps:spPr>
                      <wps:txb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wps:txbx>
                      <wps:bodyPr wrap="square" lIns="23040" rIns="23040" tIns="23040" bIns="23040" anchor="t">
                        <a:noAutofit/>
                      </wps:bodyPr>
                    </wps:wsp>
                  </wpg:wgp>
                </a:graphicData>
              </a:graphic>
            </wp:anchor>
          </w:drawing>
        </mc:Choice>
        <mc:Fallback>
          <w:pict>
            <v:group id="shape_0" style="position:absolute;margin-left:157.05pt;margin-top:0.8pt;width:280.8pt;height:43.2pt" coordorigin="3141,16" coordsize="5616,864">
              <v:shape id="shape_0" coordsize="20000,20000" path="m0,0l0,20000l20000,20000l20000,0l0,0e" fillcolor="white" stroked="t" o:allowincell="f" style="position:absolute;left:3141;top:16;width:5615;height:863;mso-wrap-style:none;v-text-anchor:middle">
                <v:fill o:detectmouseclick="t" type="solid" color2="black"/>
                <v:stroke color="black" weight="19080" joinstyle="round" endcap="flat"/>
                <w10:wrap type="none"/>
              </v:shape>
              <v:shapetype id="_x0000_t202" coordsize="21600,21600" o:spt="202" path="m,l,21600l21600,21600l21600,xe">
                <v:stroke joinstyle="miter"/>
                <v:path gradientshapeok="t" o:connecttype="rect"/>
              </v:shapetype>
              <v:shape id="shape_0" stroked="f" o:allowincell="f" style="position:absolute;left:3141;top:16;width:5615;height:863;mso-wrap-style:square;v-text-anchor:top" type="_x0000_t202">
                <v:textbo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v:textbox>
                <v:fill o:detectmouseclick="t" on="false"/>
                <v:stroke color="#3465a4" joinstyle="round" endcap="flat"/>
                <w10:wrap type="none"/>
              </v:shape>
            </v:group>
          </w:pict>
        </mc:Fallback>
      </mc:AlternateContent>
    </w:r>
  </w:p>
  <w:p>
    <w:pPr>
      <w:pStyle w:val="Footer"/>
      <w:widowControl/>
      <w:rPr/>
    </w:pPr>
    <w:r>
      <w:rPr>
        <w:sz w:val="22"/>
      </w:rPr>
      <w:t xml:space="preserve">Page </w:t>
    </w:r>
    <w:r>
      <w:rPr>
        <w:sz w:val="22"/>
      </w:rPr>
      <w:fldChar w:fldCharType="begin"/>
    </w:r>
    <w:r>
      <w:rPr>
        <w:sz w:val="22"/>
      </w:rPr>
      <w:instrText xml:space="preserve"> PAGE </w:instrText>
    </w:r>
    <w:r>
      <w:rPr>
        <w:sz w:val="22"/>
      </w:rPr>
      <w:fldChar w:fldCharType="separate"/>
    </w:r>
    <w:r>
      <w:rPr>
        <w:sz w:val="22"/>
      </w:rPr>
      <w:t>i</w:t>
    </w:r>
    <w:r>
      <w:rPr>
        <w:sz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s>
      <w:rPr>
        <w:sz w:val="22"/>
        <w:lang w:val="en-CA" w:eastAsia="en-CA"/>
      </w:rPr>
    </w:pPr>
    <w:r>
      <w:rPr>
        <w:sz w:val="22"/>
        <w:lang w:val="en-CA" w:eastAsia="en-CA"/>
      </w:rPr>
      <mc:AlternateContent>
        <mc:Choice Requires="wpg">
          <w:drawing>
            <wp:anchor behindDoc="1" distT="0" distB="0" distL="114935" distR="114935" simplePos="0" locked="0" layoutInCell="1" allowOverlap="1" relativeHeight="14">
              <wp:simplePos x="0" y="0"/>
              <wp:positionH relativeFrom="column">
                <wp:posOffset>2223135</wp:posOffset>
              </wp:positionH>
              <wp:positionV relativeFrom="paragraph">
                <wp:posOffset>-5080</wp:posOffset>
              </wp:positionV>
              <wp:extent cx="3566160" cy="548640"/>
              <wp:effectExtent l="9525" t="9525" r="10160" b="9525"/>
              <wp:wrapNone/>
              <wp:docPr id="3" name=""/>
              <a:graphic xmlns:a="http://schemas.openxmlformats.org/drawingml/2006/main">
                <a:graphicData uri="http://schemas.microsoft.com/office/word/2010/wordprocessingGroup">
                  <wpg:wgp>
                    <wpg:cNvGrpSpPr/>
                    <wpg:grpSpPr>
                      <a:xfrm>
                        <a:off x="0" y="0"/>
                        <a:ext cx="3566160" cy="548640"/>
                        <a:chOff x="0" y="0"/>
                        <a:chExt cx="3566160" cy="548640"/>
                      </a:xfrm>
                    </wpg:grpSpPr>
                    <wps:wsp>
                      <wps:cNvPr id="4" name=""/>
                      <wps:cNvSpPr/>
                      <wps:spPr>
                        <a:xfrm>
                          <a:off x="0" y="0"/>
                          <a:ext cx="3566160" cy="5486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19080">
                          <a:solidFill>
                            <a:srgbClr val="000000"/>
                          </a:solidFill>
                          <a:round/>
                        </a:ln>
                      </wps:spPr>
                      <wps:style>
                        <a:lnRef idx="0"/>
                        <a:fillRef idx="0"/>
                        <a:effectRef idx="0"/>
                        <a:fontRef idx="minor"/>
                      </wps:style>
                      <wps:bodyPr/>
                    </wps:wsp>
                    <wps:wsp>
                      <wps:cNvSpPr txBox="1"/>
                      <wps:spPr>
                        <a:xfrm>
                          <a:off x="0" y="0"/>
                          <a:ext cx="3566160" cy="548640"/>
                        </a:xfrm>
                        <a:prstGeom prst="rect">
                          <a:avLst/>
                        </a:prstGeom>
                        <a:noFill/>
                        <a:ln w="0">
                          <a:noFill/>
                        </a:ln>
                      </wps:spPr>
                      <wps:txb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wps:txbx>
                      <wps:bodyPr wrap="square" lIns="23040" rIns="23040" tIns="23040" bIns="23040" anchor="t">
                        <a:noAutofit/>
                      </wps:bodyPr>
                    </wps:wsp>
                  </wpg:wgp>
                </a:graphicData>
              </a:graphic>
            </wp:anchor>
          </w:drawing>
        </mc:Choice>
        <mc:Fallback>
          <w:pict>
            <v:group id="shape_0" style="position:absolute;margin-left:175.05pt;margin-top:-0.4pt;width:280.8pt;height:43.2pt" coordorigin="3501,-8" coordsize="5616,864">
              <v:shape id="shape_0" coordsize="20000,20000" path="m0,0l0,20000l20000,20000l20000,0l0,0e" fillcolor="white" stroked="t" o:allowincell="f" style="position:absolute;left:3501;top:-8;width:5615;height:863;mso-wrap-style:none;v-text-anchor:middle">
                <v:fill o:detectmouseclick="t" type="solid" color2="black"/>
                <v:stroke color="black" weight="19080" joinstyle="round" endcap="flat"/>
                <w10:wrap type="none"/>
              </v:shape>
              <v:shape id="shape_0" stroked="f" o:allowincell="f" style="position:absolute;left:3501;top:-8;width:5615;height:863;mso-wrap-style:square;v-text-anchor:top" type="_x0000_t202">
                <v:textbo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v:textbox>
                <v:fill o:detectmouseclick="t" on="false"/>
                <v:stroke color="#3465a4" joinstyle="round" endcap="flat"/>
                <w10:wrap type="none"/>
              </v:shape>
            </v:group>
          </w:pict>
        </mc:Fallback>
      </mc:AlternateContent>
    </w:r>
  </w:p>
  <w:p>
    <w:pPr>
      <w:pStyle w:val="Footer"/>
      <w:widowControl/>
      <w:tabs>
        <w:tab w:val="clear" w:pos="4320"/>
        <w:tab w:val="clear" w:pos="8640"/>
      </w:tabs>
      <w:rPr/>
    </w:pPr>
    <w:r>
      <w:rPr>
        <w:sz w:val="22"/>
      </w:rPr>
      <w:t xml:space="preserve">Page </w:t>
    </w:r>
    <w:r>
      <w:rPr>
        <w:sz w:val="22"/>
      </w:rPr>
      <w:fldChar w:fldCharType="begin"/>
    </w:r>
    <w:r>
      <w:rPr>
        <w:sz w:val="22"/>
      </w:rPr>
      <w:instrText xml:space="preserve"> PAGE </w:instrText>
    </w:r>
    <w:r>
      <w:rPr>
        <w:sz w:val="22"/>
      </w:rPr>
      <w:fldChar w:fldCharType="separate"/>
    </w:r>
    <w:r>
      <w:rPr>
        <w:sz w:val="22"/>
      </w:rPr>
      <w:t>12</w:t>
    </w:r>
    <w:r>
      <w:rPr>
        <w:sz w:val="2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lang w:val="en-CA" w:eastAsia="en-CA"/>
      </w:rPr>
    </w:pPr>
    <w:r>
      <w:rPr>
        <w:sz w:val="22"/>
        <w:lang w:val="en-CA" w:eastAsia="en-CA"/>
      </w:rPr>
      <mc:AlternateContent>
        <mc:Choice Requires="wpg">
          <w:drawing>
            <wp:anchor behindDoc="1" distT="0" distB="0" distL="114935" distR="114935" simplePos="0" locked="0" layoutInCell="1" allowOverlap="1" relativeHeight="3">
              <wp:simplePos x="0" y="0"/>
              <wp:positionH relativeFrom="column">
                <wp:posOffset>2070735</wp:posOffset>
              </wp:positionH>
              <wp:positionV relativeFrom="paragraph">
                <wp:posOffset>-5080</wp:posOffset>
              </wp:positionV>
              <wp:extent cx="3566160" cy="548640"/>
              <wp:effectExtent l="10160" t="9525" r="10160" b="9525"/>
              <wp:wrapNone/>
              <wp:docPr id="5" name=""/>
              <a:graphic xmlns:a="http://schemas.openxmlformats.org/drawingml/2006/main">
                <a:graphicData uri="http://schemas.microsoft.com/office/word/2010/wordprocessingGroup">
                  <wpg:wgp>
                    <wpg:cNvGrpSpPr/>
                    <wpg:grpSpPr>
                      <a:xfrm>
                        <a:off x="0" y="0"/>
                        <a:ext cx="3566160" cy="548640"/>
                        <a:chOff x="0" y="0"/>
                        <a:chExt cx="3566160" cy="548640"/>
                      </a:xfrm>
                    </wpg:grpSpPr>
                    <wps:wsp>
                      <wps:cNvPr id="6" name=""/>
                      <wps:cNvSpPr/>
                      <wps:spPr>
                        <a:xfrm>
                          <a:off x="0" y="0"/>
                          <a:ext cx="3566160" cy="5486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19080">
                          <a:solidFill>
                            <a:srgbClr val="000000"/>
                          </a:solidFill>
                          <a:round/>
                        </a:ln>
                      </wps:spPr>
                      <wps:style>
                        <a:lnRef idx="0"/>
                        <a:fillRef idx="0"/>
                        <a:effectRef idx="0"/>
                        <a:fontRef idx="minor"/>
                      </wps:style>
                      <wps:bodyPr/>
                    </wps:wsp>
                    <wps:wsp>
                      <wps:cNvSpPr txBox="1"/>
                      <wps:spPr>
                        <a:xfrm>
                          <a:off x="0" y="0"/>
                          <a:ext cx="3566160" cy="548640"/>
                        </a:xfrm>
                        <a:prstGeom prst="rect">
                          <a:avLst/>
                        </a:prstGeom>
                        <a:noFill/>
                        <a:ln w="0">
                          <a:noFill/>
                        </a:ln>
                      </wps:spPr>
                      <wps:txb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wps:txbx>
                      <wps:bodyPr wrap="square" lIns="23040" rIns="23040" tIns="23040" bIns="23040" anchor="t">
                        <a:noAutofit/>
                      </wps:bodyPr>
                    </wps:wsp>
                  </wpg:wgp>
                </a:graphicData>
              </a:graphic>
            </wp:anchor>
          </w:drawing>
        </mc:Choice>
        <mc:Fallback>
          <w:pict>
            <v:group id="shape_0" style="position:absolute;margin-left:163.05pt;margin-top:-0.4pt;width:280.8pt;height:43.2pt" coordorigin="3261,-8" coordsize="5616,864">
              <v:shape id="shape_0" coordsize="20000,20000" path="m0,0l0,20000l20000,20000l20000,0l0,0e" fillcolor="white" stroked="t" o:allowincell="f" style="position:absolute;left:3261;top:-8;width:5615;height:863;mso-wrap-style:none;v-text-anchor:middle">
                <v:fill o:detectmouseclick="t" type="solid" color2="black"/>
                <v:stroke color="black" weight="19080" joinstyle="round" endcap="flat"/>
                <w10:wrap type="none"/>
              </v:shape>
              <v:shape id="shape_0" stroked="f" o:allowincell="f" style="position:absolute;left:3261;top:-8;width:5615;height:863;mso-wrap-style:square;v-text-anchor:top" type="_x0000_t202">
                <v:textbox>
                  <w:txbxContent>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Subject to Rule 51 of the CPUC Rules of Practice and Procedure,</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 xml:space="preserve">Rule 601 </w:t>
                      </w:r>
                      <w:r>
                        <w:rPr>
                          <w:kern w:val="2"/>
                          <w:sz w:val="18"/>
                          <w:szCs w:val="20"/>
                          <w:u w:val="single"/>
                          <w:rFonts w:ascii="Times New Roman" w:hAnsi="Times New Roman" w:eastAsia="Times New Roman" w:cs="Times New Roman"/>
                          <w:color w:val="auto"/>
                          <w:lang w:val="en-US" w:bidi="ar-SA"/>
                        </w:rPr>
                        <w:t>et</w:t>
                      </w:r>
                      <w:r>
                        <w:rPr>
                          <w:kern w:val="2"/>
                          <w:sz w:val="18"/>
                          <w:szCs w:val="20"/>
                          <w:rFonts w:ascii="Times New Roman" w:hAnsi="Times New Roman" w:eastAsia="Times New Roman" w:cs="Times New Roman"/>
                          <w:color w:val="auto"/>
                          <w:lang w:val="en-US" w:bidi="ar-SA"/>
                        </w:rPr>
                        <w:t xml:space="preserve"> </w:t>
                      </w:r>
                      <w:r>
                        <w:rPr>
                          <w:kern w:val="2"/>
                          <w:sz w:val="18"/>
                          <w:szCs w:val="20"/>
                          <w:u w:val="single"/>
                          <w:rFonts w:ascii="Times New Roman" w:hAnsi="Times New Roman" w:eastAsia="Times New Roman" w:cs="Times New Roman"/>
                          <w:color w:val="auto"/>
                          <w:lang w:val="en-US" w:bidi="ar-SA"/>
                        </w:rPr>
                        <w:t>seq</w:t>
                      </w:r>
                      <w:r>
                        <w:rPr>
                          <w:kern w:val="2"/>
                          <w:sz w:val="18"/>
                          <w:szCs w:val="20"/>
                          <w:rFonts w:ascii="Times New Roman" w:hAnsi="Times New Roman" w:eastAsia="Times New Roman" w:cs="Times New Roman"/>
                          <w:color w:val="auto"/>
                          <w:lang w:val="en-US" w:bidi="ar-SA"/>
                        </w:rPr>
                        <w:t>. of the FERC Rules of Practice, Rule 408 of the Federal</w:t>
                      </w:r>
                    </w:p>
                    <w:p>
                      <w:pPr>
                        <w:overflowPunct w:val="false"/>
                        <w:autoSpaceDE w:val="false"/>
                        <w:bidi w:val="0"/>
                        <w:ind w:start="36" w:end="36" w:hanging="0"/>
                        <w:jc w:val="center"/>
                        <w:rPr/>
                      </w:pPr>
                      <w:r>
                        <w:rPr>
                          <w:kern w:val="2"/>
                          <w:sz w:val="18"/>
                          <w:szCs w:val="20"/>
                          <w:rFonts w:ascii="Times New Roman" w:hAnsi="Times New Roman" w:eastAsia="Times New Roman" w:cs="Times New Roman"/>
                          <w:color w:val="auto"/>
                          <w:lang w:val="en-US" w:bidi="ar-SA"/>
                        </w:rPr>
                        <w:t>Rules of Evidence, and Section 1152 of the California Evidence Code</w:t>
                      </w:r>
                    </w:p>
                  </w:txbxContent>
                </v:textbox>
                <v:fill o:detectmouseclick="t" on="false"/>
                <v:stroke color="#3465a4" joinstyle="round" endcap="flat"/>
                <w10:wrap type="none"/>
              </v:shape>
            </v:group>
          </w:pict>
        </mc:Fallback>
      </mc:AlternateContent>
    </w:r>
  </w:p>
  <w:p>
    <w:pPr>
      <w:pStyle w:val="Footer"/>
      <w:widowControl/>
      <w:rPr/>
    </w:pPr>
    <w:r>
      <w:rPr>
        <w:sz w:val="22"/>
      </w:rPr>
      <w:t xml:space="preserve">Page </w:t>
    </w:r>
    <w:r>
      <w:rPr>
        <w:sz w:val="22"/>
      </w:rPr>
      <w:fldChar w:fldCharType="begin"/>
    </w:r>
    <w:r>
      <w:rPr>
        <w:sz w:val="22"/>
      </w:rPr>
      <w:instrText xml:space="preserve"> PAGE </w:instrText>
    </w:r>
    <w:r>
      <w:rPr>
        <w:sz w:val="22"/>
      </w:rPr>
      <w:fldChar w:fldCharType="separate"/>
    </w:r>
    <w:r>
      <w:rPr>
        <w:sz w:val="22"/>
      </w:rPr>
      <w:t>1</w:t>
    </w:r>
    <w:r>
      <w:rPr>
        <w:sz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jc w:val="end"/>
      <w:rPr>
        <w:sz w:val="22"/>
      </w:rPr>
    </w:pPr>
    <w:r>
      <w:rPr>
        <w:sz w:val="22"/>
      </w:rPr>
    </w:r>
  </w:p>
  <w:p>
    <w:pPr>
      <w:pStyle w:val="Footer"/>
      <w:widowControl/>
      <w:rPr/>
    </w:pPr>
    <w:r>
      <w:rPr>
        <w:sz w:val="22"/>
      </w:rPr>
      <w:t>Page 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rPr>
        <w:sz w:val="22"/>
      </w:rPr>
    </w:pPr>
    <w:r>
      <w:rPr>
        <w:sz w:val="22"/>
      </w:rPr>
    </w:r>
  </w:p>
  <w:p>
    <w:pPr>
      <w:pStyle w:val="Footer"/>
      <w:widowControl/>
      <w:rPr/>
    </w:pPr>
    <w:r>
      <w:rPr>
        <w:sz w:val="22"/>
      </w:rPr>
      <w:t>Page 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rPr>
        <w:sz w:val="22"/>
      </w:rPr>
    </w:pPr>
    <w:r>
      <w:rPr>
        <w:sz w:val="22"/>
      </w:rPr>
    </w:r>
  </w:p>
  <w:p>
    <w:pPr>
      <w:pStyle w:val="Footer"/>
      <w:widowControl/>
      <w:rPr/>
    </w:pPr>
    <w:r>
      <w:rPr>
        <w:sz w:val="22"/>
      </w:rPr>
      <w:t>Page B–</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rPr>
    </w:pPr>
    <w:r>
      <w:rPr>
        <w:sz w:val="16"/>
      </w:rPr>
      <w:t>Subject to Rule 51 of the CPUC Rules of Practice and Procedure,</w:t>
    </w:r>
  </w:p>
  <w:p>
    <w:pPr>
      <w:pStyle w:val="Normal"/>
      <w:widowControl/>
      <w:ind w:start="36" w:end="36"/>
      <w:jc w:val="end"/>
      <w:rPr/>
    </w:pPr>
    <w:r>
      <w:rPr>
        <w:sz w:val="16"/>
      </w:rPr>
      <w:t xml:space="preserve">Rule 601 </w:t>
    </w:r>
    <w:r>
      <w:rPr>
        <w:sz w:val="16"/>
        <w:u w:val="single"/>
      </w:rPr>
      <w:t>et</w:t>
    </w:r>
    <w:r>
      <w:rPr>
        <w:sz w:val="16"/>
      </w:rPr>
      <w:t xml:space="preserve"> </w:t>
    </w:r>
    <w:r>
      <w:rPr>
        <w:sz w:val="16"/>
        <w:u w:val="single"/>
      </w:rPr>
      <w:t>seq</w:t>
    </w:r>
    <w:r>
      <w:rPr>
        <w:sz w:val="16"/>
      </w:rPr>
      <w:t>. of the FERC Rules of Practice, Rule 408 of the Federal</w:t>
    </w:r>
  </w:p>
  <w:p>
    <w:pPr>
      <w:pStyle w:val="Normal"/>
      <w:widowControl/>
      <w:ind w:start="36" w:end="36"/>
      <w:jc w:val="end"/>
      <w:rPr>
        <w:sz w:val="16"/>
      </w:rPr>
    </w:pPr>
    <w:r>
      <w:rPr>
        <w:sz w:val="16"/>
      </w:rPr>
      <w:t>Rules of Evidence, and Section 1152 of the California Evidence Code</w:t>
    </w:r>
  </w:p>
  <w:p>
    <w:pPr>
      <w:pStyle w:val="Footer"/>
      <w:widowControl/>
      <w:ind w:end="360"/>
      <w:rPr>
        <w:sz w:val="22"/>
      </w:rPr>
    </w:pPr>
    <w:r>
      <w:rPr>
        <w:sz w:val="22"/>
      </w:rPr>
    </w:r>
  </w:p>
  <w:p>
    <w:pPr>
      <w:pStyle w:val="Footer"/>
      <w:widowControl/>
      <w:ind w:end="360"/>
      <w:rPr/>
    </w:pPr>
    <w:r>
      <w:rPr>
        <w:sz w:val="22"/>
      </w:rPr>
      <w:t>Page 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pPr>
      <w:r>
        <w:rPr>
          <w:rStyle w:val="FootnoteCharacters"/>
        </w:rPr>
        <w:footnoteRef/>
      </w:r>
      <w:r>
        <w:rPr/>
        <w:t xml:space="preserve"> </w:t>
      </w:r>
      <w:r>
        <w:rPr/>
        <w:tab/>
        <w:t>PG&amp;E’s OFO Settlement was approved by the CPUC in Decision 00</w:t>
        <w:noBreakHyphen/>
        <w:t>02</w:t>
        <w:noBreakHyphen/>
        <w:t>050 on February 17, 2000.  The Settlement tariffs were effective April 1, 2000.</w:t>
      </w:r>
    </w:p>
  </w:footnote>
  <w:footnote w:id="3">
    <w:p>
      <w:pPr>
        <w:pStyle w:val="FootnoteText"/>
        <w:rPr/>
      </w:pPr>
      <w:r>
        <w:rPr>
          <w:rStyle w:val="FootnoteCharacters"/>
        </w:rPr>
        <w:footnoteRef/>
      </w:r>
      <w:r>
        <w:rPr/>
        <w:t xml:space="preserve"> </w:t>
      </w:r>
      <w:r>
        <w:rPr/>
        <w:tab/>
        <w:t>See Section C.1.f, page 5 of the OFO Settlement.</w:t>
      </w:r>
    </w:p>
  </w:footnote>
  <w:footnote w:id="4">
    <w:p>
      <w:pPr>
        <w:pStyle w:val="FootnoteText"/>
        <w:rPr/>
      </w:pPr>
      <w:r>
        <w:rPr>
          <w:rStyle w:val="FootnoteCharacters"/>
        </w:rPr>
        <w:footnoteRef/>
      </w:r>
      <w:r>
        <w:rPr/>
        <w:t xml:space="preserve"> </w:t>
      </w:r>
      <w:r>
        <w:rPr/>
        <w:tab/>
        <w:t>This reduction is allowed under Section C.2.g, page 7, of the OFO Settlement.  This was announced to the market on March 12, through the Pipe Ranger web site.</w:t>
      </w:r>
    </w:p>
  </w:footnote>
  <w:footnote w:id="5">
    <w:p>
      <w:pPr>
        <w:pStyle w:val="FootnoteText"/>
        <w:rPr/>
      </w:pPr>
      <w:r>
        <w:rPr>
          <w:rStyle w:val="FootnoteCharacters"/>
        </w:rPr>
        <w:footnoteRef/>
      </w:r>
      <w:r>
        <w:rPr/>
        <w:t xml:space="preserve"> </w:t>
      </w:r>
      <w:r>
        <w:rPr/>
        <w:tab/>
        <w:t xml:space="preserve">The Intraday1 nomination cycle is the third nomination cycle for the gas day.  </w:t>
      </w:r>
    </w:p>
  </w:footnote>
  <w:footnote w:id="6">
    <w:p>
      <w:pPr>
        <w:pStyle w:val="FootnoteText"/>
        <w:widowControl/>
        <w:rPr/>
      </w:pPr>
      <w:r>
        <w:rPr>
          <w:rStyle w:val="FootnoteCharacters"/>
        </w:rPr>
        <w:footnoteRef/>
      </w:r>
      <w:r>
        <w:rPr/>
        <w:t xml:space="preserve"> </w:t>
      </w:r>
      <w:r>
        <w:rPr/>
        <w:tab/>
        <w:t>See page 1 of OFO Settlement.</w:t>
      </w:r>
    </w:p>
  </w:footnote>
  <w:footnote w:id="7">
    <w:p>
      <w:pPr>
        <w:pStyle w:val="FootnoteText"/>
        <w:widowControl/>
        <w:rPr/>
      </w:pPr>
      <w:r>
        <w:rPr>
          <w:rStyle w:val="FootnoteCharacters"/>
        </w:rPr>
        <w:footnoteRef/>
      </w:r>
      <w:r>
        <w:rPr/>
        <w:t xml:space="preserve"> </w:t>
      </w:r>
      <w:r>
        <w:rPr/>
        <w:tab/>
        <w:t>See Section B.2, page 2 of the OFO Settlement.</w:t>
      </w:r>
    </w:p>
  </w:footnote>
  <w:footnote w:id="8">
    <w:p>
      <w:pPr>
        <w:pStyle w:val="FootnoteText"/>
        <w:widowControl/>
        <w:rPr/>
      </w:pPr>
      <w:r>
        <w:rPr>
          <w:rStyle w:val="FootnoteCharacters"/>
        </w:rPr>
        <w:footnoteRef/>
      </w:r>
      <w:r>
        <w:rPr/>
        <w:t xml:space="preserve"> </w:t>
      </w:r>
      <w:r>
        <w:rPr/>
        <w:tab/>
        <w:t>See Section C.1.f.(1), page 5, of the OFO Settlement.</w:t>
      </w:r>
    </w:p>
  </w:footnote>
  <w:footnote w:id="9">
    <w:p>
      <w:pPr>
        <w:pStyle w:val="FootnoteText"/>
        <w:widowControl/>
        <w:rPr/>
      </w:pPr>
      <w:r>
        <w:rPr>
          <w:rStyle w:val="FootnoteCharacters"/>
        </w:rPr>
        <w:footnoteRef/>
      </w:r>
      <w:r>
        <w:rPr/>
        <w:t xml:space="preserve"> </w:t>
      </w:r>
      <w:r>
        <w:rPr/>
        <w:tab/>
        <w:t xml:space="preserve">The billing data for CPGs is based on their “Determined Usage”, which is the forecast on the morning of flow day.  </w:t>
      </w:r>
    </w:p>
  </w:footnote>
  <w:footnote w:id="10">
    <w:p>
      <w:pPr>
        <w:pStyle w:val="FootnoteText"/>
        <w:widowControl/>
        <w:rPr/>
      </w:pPr>
      <w:r>
        <w:rPr>
          <w:rStyle w:val="FootnoteCharacters"/>
        </w:rPr>
        <w:footnoteRef/>
      </w:r>
      <w:r>
        <w:rPr/>
        <w:t xml:space="preserve"> </w:t>
      </w:r>
      <w:r>
        <w:rPr/>
        <w:tab/>
        <w:t>This is one of the issues listed in the OFO Settlement to be explored by the OFO Forum.</w:t>
      </w:r>
    </w:p>
  </w:footnote>
  <w:footnote w:id="11">
    <w:p>
      <w:pPr>
        <w:pStyle w:val="FootnoteText"/>
        <w:widowControl/>
        <w:rPr/>
      </w:pPr>
      <w:r>
        <w:rPr>
          <w:rStyle w:val="FootnoteCharacters"/>
        </w:rPr>
        <w:footnoteRef/>
      </w:r>
      <w:r>
        <w:rPr/>
        <w:t xml:space="preserve"> </w:t>
      </w:r>
      <w:r>
        <w:rPr/>
        <w:tab/>
        <w:t>This data is required by Sections C.1.f.(2), (3), (4), and (5) of the OFO Settlement.</w:t>
      </w:r>
    </w:p>
  </w:footnote>
  <w:footnote w:id="12">
    <w:p>
      <w:pPr>
        <w:pStyle w:val="FootnoteText"/>
        <w:widowControl/>
        <w:rPr/>
      </w:pPr>
      <w:r>
        <w:rPr>
          <w:rStyle w:val="FootnoteCharacters"/>
        </w:rPr>
        <w:footnoteRef/>
      </w:r>
      <w:r>
        <w:rPr/>
        <w:t xml:space="preserve"> </w:t>
      </w:r>
      <w:r>
        <w:rPr/>
        <w:tab/>
        <w:t>The OFO Settlement Agreement specified that the quarterly OFO report would contain “any proposed changes to any OFO and balancing procedures and/or methodology addressed in this Settlement.”  See Section C.1.f.6, page 5.</w:t>
      </w:r>
    </w:p>
  </w:footnote>
  <w:footnote w:id="13">
    <w:p>
      <w:pPr>
        <w:pStyle w:val="FootnoteText"/>
        <w:widowControl/>
        <w:rPr/>
      </w:pPr>
      <w:r>
        <w:rPr>
          <w:rStyle w:val="FootnoteCharacters"/>
        </w:rPr>
        <w:footnoteRef/>
      </w:r>
      <w:r>
        <w:rPr/>
        <w:t xml:space="preserve"> </w:t>
      </w:r>
      <w:r>
        <w:rPr/>
        <w:tab/>
        <w:t>The 100 Mdth is simply an assumption to provide a perspective.  It does not represent any specific operating parameter or imbalance threshold.</w:t>
      </w:r>
    </w:p>
  </w:footnote>
  <w:footnote w:id="14">
    <w:p>
      <w:pPr>
        <w:pStyle w:val="FootnoteText"/>
        <w:widowControl/>
        <w:rPr/>
      </w:pPr>
      <w:r>
        <w:rPr>
          <w:rStyle w:val="FootnoteCharacters"/>
        </w:rPr>
        <w:footnoteRef/>
      </w:r>
      <w:r>
        <w:rPr/>
        <w:t xml:space="preserve"> </w:t>
      </w:r>
      <w:r>
        <w:rPr/>
        <w:tab/>
        <w:t>There are balancing entities with total imbalances over the three days prior to the OFO which exceed 5,000 Dth and 10% of usage.</w:t>
      </w:r>
    </w:p>
  </w:footnote>
  <w:footnote w:id="15">
    <w:p>
      <w:pPr>
        <w:pStyle w:val="FootnoteText"/>
        <w:widowControl/>
        <w:rPr/>
      </w:pPr>
      <w:r>
        <w:rPr>
          <w:rStyle w:val="FootnoteCharacters"/>
        </w:rPr>
        <w:footnoteRef/>
      </w:r>
      <w:r>
        <w:rPr/>
        <w:t xml:space="preserve"> </w:t>
      </w:r>
      <w:r>
        <w:rPr/>
        <w:tab/>
        <w:t>OFO Settlement, Section B.3.b, page 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First Quarter 2001</w:t>
    </w:r>
  </w:p>
  <w:p>
    <w:pPr>
      <w:pStyle w:val="Normal"/>
      <w:widowControl/>
      <w:rPr>
        <w:rFonts w:ascii="Georgia" w:hAnsi="Georgia" w:cs="Georgia"/>
        <w:b/>
        <w:sz w:val="24"/>
      </w:rPr>
    </w:pPr>
    <w:r>
      <w:rPr>
        <w:rFonts w:cs="Georgia" w:ascii="Georgia" w:hAnsi="Georgia"/>
        <w:b/>
        <w:sz w:val="24"/>
      </w:rPr>
      <w:t>April 30, 2001</w:t>
    </w:r>
  </w:p>
  <w:p>
    <w:pPr>
      <w:pStyle w:val="Normal"/>
      <w:widowControl/>
      <w:rPr>
        <w:rFonts w:ascii="Georgia" w:hAnsi="Georgia" w:cs="Georgia"/>
        <w:b/>
        <w:sz w:val="24"/>
      </w:rPr>
    </w:pPr>
    <w:r>
      <w:rPr>
        <w:rFonts w:cs="Georgia" w:ascii="Georgia" w:hAnsi="Georgia"/>
        <w:b/>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First Quarter 2001</w:t>
    </w:r>
  </w:p>
  <w:p>
    <w:pPr>
      <w:pStyle w:val="Normal"/>
      <w:widowControl/>
      <w:rPr>
        <w:rFonts w:ascii="Georgia" w:hAnsi="Georgia" w:cs="Georgia"/>
        <w:b/>
        <w:sz w:val="24"/>
      </w:rPr>
    </w:pPr>
    <w:r>
      <w:rPr>
        <w:rFonts w:cs="Georgia" w:ascii="Georgia" w:hAnsi="Georgia"/>
        <w:b/>
        <w:sz w:val="24"/>
      </w:rPr>
      <w:t>April 30, 2001</w:t>
    </w:r>
  </w:p>
  <w:p>
    <w:pPr>
      <w:pStyle w:val="Header"/>
      <w:widowControl/>
      <w:spacing w:before="120" w:after="0"/>
      <w:rPr>
        <w:b/>
        <w:sz w:val="26"/>
      </w:rPr>
    </w:pPr>
    <w:r>
      <w:rPr>
        <w:b/>
        <w:sz w:val="26"/>
      </w:rPr>
      <w:t>Appendix A – Detailed OFO Imbalance Report by Balancing Entity</w:t>
    </w:r>
  </w:p>
  <w:p>
    <w:pPr>
      <w:pStyle w:val="Header"/>
      <w:widowControl/>
      <w:rPr>
        <w:b/>
        <w:sz w:val="24"/>
      </w:rPr>
    </w:pPr>
    <w:r>
      <w:rPr>
        <w:b/>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First Quarter 2001</w:t>
    </w:r>
  </w:p>
  <w:p>
    <w:pPr>
      <w:pStyle w:val="Normal"/>
      <w:widowControl/>
      <w:rPr>
        <w:rFonts w:ascii="Georgia" w:hAnsi="Georgia" w:cs="Georgia"/>
        <w:b/>
        <w:sz w:val="24"/>
      </w:rPr>
    </w:pPr>
    <w:r>
      <w:rPr>
        <w:rFonts w:cs="Georgia" w:ascii="Georgia" w:hAnsi="Georgia"/>
        <w:b/>
        <w:sz w:val="24"/>
      </w:rPr>
      <w:t>April 30, 2001</w:t>
    </w:r>
  </w:p>
  <w:p>
    <w:pPr>
      <w:pStyle w:val="Header"/>
      <w:widowControl/>
      <w:rPr>
        <w:rFonts w:ascii="Georgia" w:hAnsi="Georgia" w:cs="Georgia"/>
        <w:b/>
        <w:sz w:val="24"/>
      </w:rPr>
    </w:pPr>
    <w:r>
      <w:rPr>
        <w:rFonts w:cs="Georgia" w:ascii="Georgia" w:hAnsi="Georgia"/>
        <w:b/>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First Quarter 2001</w:t>
    </w:r>
  </w:p>
  <w:p>
    <w:pPr>
      <w:pStyle w:val="Normal"/>
      <w:widowControl/>
      <w:rPr>
        <w:rFonts w:ascii="Georgia" w:hAnsi="Georgia" w:cs="Georgia"/>
        <w:b/>
        <w:sz w:val="24"/>
      </w:rPr>
    </w:pPr>
    <w:r>
      <w:rPr>
        <w:rFonts w:cs="Georgia" w:ascii="Georgia" w:hAnsi="Georgia"/>
        <w:b/>
        <w:sz w:val="24"/>
      </w:rPr>
      <w:t>April 30, 2001</w:t>
    </w:r>
  </w:p>
  <w:p>
    <w:pPr>
      <w:pStyle w:val="Header"/>
      <w:widowControl/>
      <w:spacing w:before="120" w:after="0"/>
      <w:rPr>
        <w:b/>
        <w:sz w:val="26"/>
      </w:rPr>
    </w:pPr>
    <w:r>
      <w:rPr>
        <w:b/>
        <w:sz w:val="26"/>
      </w:rPr>
      <w:t>Appendix B – Detailed OFO Imbalance Report For Pipeline</w:t>
    </w:r>
  </w:p>
  <w:p>
    <w:pPr>
      <w:pStyle w:val="Header"/>
      <w:widowControl/>
      <w:rPr>
        <w:b/>
        <w:sz w:val="24"/>
      </w:rPr>
    </w:pPr>
    <w:r>
      <w:rPr>
        <w:b/>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cs="Georgia"/>
        <w:b/>
        <w:sz w:val="24"/>
      </w:rPr>
    </w:pPr>
    <w:r>
      <w:rPr>
        <w:rFonts w:cs="Georgia" w:ascii="Georgia" w:hAnsi="Georgia"/>
        <w:b/>
        <w:sz w:val="24"/>
      </w:rPr>
      <w:t>OFO Report:  First Quarter 2001</w:t>
    </w:r>
  </w:p>
  <w:p>
    <w:pPr>
      <w:pStyle w:val="Normal"/>
      <w:widowControl/>
      <w:rPr>
        <w:rFonts w:ascii="Georgia" w:hAnsi="Georgia" w:cs="Georgia"/>
        <w:b/>
        <w:sz w:val="24"/>
      </w:rPr>
    </w:pPr>
    <w:r>
      <w:rPr>
        <w:rFonts w:cs="Georgia" w:ascii="Georgia" w:hAnsi="Georgia"/>
        <w:b/>
        <w:sz w:val="24"/>
      </w:rPr>
      <w:t>April 30, 2001</w:t>
    </w:r>
  </w:p>
  <w:p>
    <w:pPr>
      <w:pStyle w:val="Header"/>
      <w:widowControl/>
      <w:rPr>
        <w:rFonts w:ascii="Georgia" w:hAnsi="Georgia" w:cs="Georgia"/>
        <w:b/>
        <w:sz w:val="24"/>
      </w:rPr>
    </w:pPr>
    <w:r>
      <w:rPr>
        <w:rFonts w:cs="Georgia" w:ascii="Georgia" w:hAnsi="Georgia"/>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432"/>
      </w:pPr>
      <w:rPr/>
    </w:lvl>
  </w:abstractNum>
  <w:abstractNum w:abstractNumId="3">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4">
    <w:lvl w:ilvl="0">
      <w:start w:val="1"/>
      <w:numFmt w:val="bullet"/>
      <w:lvlText w:val=""/>
      <w:lvlJc w:val="start"/>
      <w:pPr>
        <w:tabs>
          <w:tab w:val="num" w:pos="1152"/>
        </w:tabs>
        <w:ind w:start="1152" w:hanging="360"/>
      </w:pPr>
      <w:rPr>
        <w:rFonts w:ascii="Symbol" w:hAnsi="Symbol" w:cs="Symbol" w:hint="default"/>
      </w:rPr>
    </w:lvl>
  </w:abstractNum>
  <w:abstractNum w:abstractNumId="5">
    <w:lvl w:ilvl="0">
      <w:start w:val="2"/>
      <w:numFmt w:val="decimal"/>
      <w:lvlText w:val="%1."/>
      <w:lvlJc w:val="start"/>
      <w:pPr>
        <w:tabs>
          <w:tab w:val="num" w:pos="432"/>
        </w:tabs>
        <w:ind w:start="432" w:hanging="432"/>
      </w:pPr>
      <w:rPr/>
    </w:lvl>
  </w:abstractNum>
  <w:abstractNum w:abstractNumId="6">
    <w:lvl w:ilvl="0">
      <w:start w:val="1"/>
      <w:numFmt w:val="none"/>
      <w:suff w:val="nothing"/>
      <w:lvlText w:val=""/>
      <w:lvlJc w:val="start"/>
      <w:pPr>
        <w:tabs>
          <w:tab w:val="num" w:pos="360"/>
        </w:tabs>
        <w:ind w:start="360" w:hanging="360"/>
      </w:pPr>
      <w:rPr>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7">
    <w:lvl w:ilvl="0">
      <w:start w:val="2"/>
      <w:numFmt w:val="decimal"/>
      <w:lvlText w:val="%1."/>
      <w:lvlJc w:val="start"/>
      <w:pPr>
        <w:tabs>
          <w:tab w:val="num" w:pos="432"/>
        </w:tabs>
        <w:ind w:start="432" w:hanging="432"/>
      </w:pPr>
      <w:rPr/>
    </w:lvl>
  </w:abstractNum>
  <w:abstractNum w:abstractNumId="8">
    <w:lvl w:ilvl="0">
      <w:start w:val="1"/>
      <w:numFmt w:val="decimal"/>
      <w:lvlText w:val="%1)"/>
      <w:lvlJc w:val="start"/>
      <w:pPr>
        <w:tabs>
          <w:tab w:val="num" w:pos="1584"/>
        </w:tabs>
        <w:ind w:start="1584" w:hanging="360"/>
      </w:pPr>
    </w:lvl>
  </w:abstractNum>
  <w:abstractNum w:abstractNumId="9">
    <w:lvl w:ilvl="0">
      <w:start w:val="1"/>
      <w:numFmt w:val="decimal"/>
      <w:lvlText w:val="%1."/>
      <w:lvlJc w:val="start"/>
      <w:pPr>
        <w:tabs>
          <w:tab w:val="num" w:pos="432"/>
        </w:tabs>
        <w:ind w:start="432" w:hanging="432"/>
      </w:pPr>
    </w:lvl>
  </w:abstractNum>
  <w:abstractNum w:abstractNumId="10">
    <w:lvl w:ilvl="0">
      <w:numFmt w:val="bullet"/>
      <w:lvlText w:val=""/>
      <w:lvlJc w:val="start"/>
      <w:pPr>
        <w:tabs>
          <w:tab w:val="num" w:pos="360"/>
        </w:tabs>
        <w:ind w:start="792" w:hanging="360"/>
      </w:pPr>
      <w:rPr>
        <w:rFonts w:ascii="Symbol" w:hAnsi="Symbol" w:cs="Symbol" w:hint="default"/>
      </w:rPr>
    </w:lvl>
  </w:abstractNum>
  <w:abstractNum w:abstractNumId="11">
    <w:lvl w:ilvl="0">
      <w:numFmt w:val="bullet"/>
      <w:lvlText w:val=""/>
      <w:lvlJc w:val="start"/>
      <w:pPr>
        <w:tabs>
          <w:tab w:val="num" w:pos="360"/>
        </w:tabs>
        <w:ind w:start="792" w:hanging="360"/>
      </w:pPr>
      <w:rPr>
        <w:rFonts w:ascii="Wingdings" w:hAnsi="Wingdings" w:cs="Wingdings" w:hint="default"/>
        <w:sz w:val="18"/>
      </w:r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BodyText1"/>
    <w:qFormat/>
    <w:pPr>
      <w:keepNext w:val="true"/>
      <w:numPr>
        <w:ilvl w:val="0"/>
        <w:numId w:val="1"/>
      </w:numPr>
      <w:tabs>
        <w:tab w:val="clear" w:pos="720"/>
        <w:tab w:val="left" w:pos="432" w:leader="none"/>
      </w:tabs>
      <w:spacing w:before="240" w:after="0"/>
      <w:outlineLvl w:val="0"/>
    </w:pPr>
    <w:rPr>
      <w:rFonts w:ascii="Times New Roman Bold;Times New Roman" w:hAnsi="Times New Roman Bold;Times New Roman" w:cs="Times New Roman Bold;Times New Roman"/>
      <w:b/>
      <w:caps/>
    </w:rPr>
  </w:style>
  <w:style w:type="paragraph" w:styleId="Heading2">
    <w:name w:val="heading 2"/>
    <w:basedOn w:val="Normal"/>
    <w:next w:val="BodyText2"/>
    <w:qFormat/>
    <w:pPr>
      <w:keepNext w:val="true"/>
      <w:numPr>
        <w:ilvl w:val="1"/>
        <w:numId w:val="1"/>
      </w:numPr>
      <w:tabs>
        <w:tab w:val="clear" w:pos="720"/>
        <w:tab w:val="left" w:pos="864" w:leader="none"/>
      </w:tabs>
      <w:spacing w:before="120" w:after="0"/>
      <w:ind w:hanging="0" w:start="432" w:end="0"/>
      <w:outlineLvl w:val="1"/>
    </w:pPr>
    <w:rPr>
      <w:rFonts w:ascii="Times New Roman Bold;Times New Roman" w:hAnsi="Times New Roman Bold;Times New Roman" w:cs="Times New Roman Bold;Times New Roman"/>
      <w:b/>
      <w:sz w:val="24"/>
    </w:rPr>
  </w:style>
  <w:style w:type="paragraph" w:styleId="Heading3">
    <w:name w:val="heading 3"/>
    <w:basedOn w:val="Normal"/>
    <w:next w:val="Normal"/>
    <w:qFormat/>
    <w:pPr>
      <w:keepNext w:val="true"/>
      <w:numPr>
        <w:ilvl w:val="2"/>
        <w:numId w:val="1"/>
      </w:numPr>
      <w:tabs>
        <w:tab w:val="clear" w:pos="720"/>
        <w:tab w:val="left" w:pos="1800" w:leader="none"/>
      </w:tabs>
      <w:spacing w:before="240" w:after="60"/>
      <w:ind w:hanging="0" w:start="1440" w:end="0"/>
      <w:outlineLvl w:val="2"/>
    </w:pPr>
    <w:rPr>
      <w:rFonts w:ascii="Arial" w:hAnsi="Arial" w:cs="Arial"/>
      <w:sz w:val="24"/>
    </w:rPr>
  </w:style>
  <w:style w:type="paragraph" w:styleId="Heading4">
    <w:name w:val="heading 4"/>
    <w:basedOn w:val="Normal"/>
    <w:next w:val="Normal"/>
    <w:qFormat/>
    <w:pPr>
      <w:keepNext w:val="true"/>
      <w:numPr>
        <w:ilvl w:val="3"/>
        <w:numId w:val="1"/>
      </w:numPr>
      <w:tabs>
        <w:tab w:val="clear" w:pos="720"/>
        <w:tab w:val="left" w:pos="2520" w:leader="none"/>
      </w:tabs>
      <w:spacing w:before="240" w:after="60"/>
      <w:ind w:hanging="0" w:start="2160" w:end="0"/>
      <w:outlineLvl w:val="3"/>
    </w:pPr>
    <w:rPr>
      <w:rFonts w:ascii="Arial" w:hAnsi="Arial" w:cs="Arial"/>
      <w:b/>
      <w:sz w:val="24"/>
    </w:rPr>
  </w:style>
  <w:style w:type="paragraph" w:styleId="Heading5">
    <w:name w:val="heading 5"/>
    <w:basedOn w:val="Normal"/>
    <w:next w:val="Normal"/>
    <w:qFormat/>
    <w:pPr>
      <w:numPr>
        <w:ilvl w:val="4"/>
        <w:numId w:val="1"/>
      </w:numPr>
      <w:tabs>
        <w:tab w:val="clear" w:pos="720"/>
        <w:tab w:val="left" w:pos="3240" w:leader="none"/>
      </w:tabs>
      <w:spacing w:before="240" w:after="60"/>
      <w:ind w:hanging="0" w:start="2880" w:end="0"/>
      <w:outlineLvl w:val="4"/>
    </w:pPr>
    <w:rPr>
      <w:sz w:val="22"/>
    </w:rPr>
  </w:style>
  <w:style w:type="paragraph" w:styleId="Heading6">
    <w:name w:val="heading 6"/>
    <w:basedOn w:val="Normal"/>
    <w:next w:val="Normal"/>
    <w:qFormat/>
    <w:pPr>
      <w:numPr>
        <w:ilvl w:val="5"/>
        <w:numId w:val="1"/>
      </w:numPr>
      <w:tabs>
        <w:tab w:val="clear" w:pos="720"/>
        <w:tab w:val="left" w:pos="3960" w:leader="none"/>
      </w:tabs>
      <w:spacing w:before="240" w:after="60"/>
      <w:ind w:hanging="0" w:start="3600" w:end="0"/>
      <w:outlineLvl w:val="5"/>
    </w:pPr>
    <w:rPr>
      <w:i/>
      <w:sz w:val="22"/>
    </w:rPr>
  </w:style>
  <w:style w:type="paragraph" w:styleId="Heading7">
    <w:name w:val="heading 7"/>
    <w:basedOn w:val="Normal"/>
    <w:next w:val="Normal"/>
    <w:qFormat/>
    <w:pPr>
      <w:numPr>
        <w:ilvl w:val="6"/>
        <w:numId w:val="1"/>
      </w:numPr>
      <w:tabs>
        <w:tab w:val="clear" w:pos="720"/>
        <w:tab w:val="left" w:pos="4680" w:leader="none"/>
      </w:tabs>
      <w:spacing w:before="240" w:after="60"/>
      <w:ind w:hanging="0" w:start="4320" w:end="0"/>
      <w:outlineLvl w:val="6"/>
    </w:pPr>
    <w:rPr>
      <w:rFonts w:ascii="Arial" w:hAnsi="Arial" w:cs="Arial"/>
      <w:sz w:val="20"/>
    </w:rPr>
  </w:style>
  <w:style w:type="paragraph" w:styleId="Heading8">
    <w:name w:val="heading 8"/>
    <w:basedOn w:val="Normal"/>
    <w:next w:val="Normal"/>
    <w:qFormat/>
    <w:pPr>
      <w:numPr>
        <w:ilvl w:val="7"/>
        <w:numId w:val="1"/>
      </w:numPr>
      <w:tabs>
        <w:tab w:val="clear" w:pos="720"/>
        <w:tab w:val="left" w:pos="5400" w:leader="none"/>
      </w:tabs>
      <w:spacing w:before="240" w:after="60"/>
      <w:ind w:hanging="0" w:start="5040" w:end="0"/>
      <w:outlineLvl w:val="7"/>
    </w:pPr>
    <w:rPr>
      <w:rFonts w:ascii="Arial" w:hAnsi="Arial" w:cs="Arial"/>
      <w:i/>
      <w:sz w:val="20"/>
    </w:rPr>
  </w:style>
  <w:style w:type="paragraph" w:styleId="Heading9">
    <w:name w:val="heading 9"/>
    <w:basedOn w:val="Normal"/>
    <w:next w:val="Normal"/>
    <w:qFormat/>
    <w:pPr>
      <w:numPr>
        <w:ilvl w:val="8"/>
        <w:numId w:val="1"/>
      </w:numPr>
      <w:tabs>
        <w:tab w:val="clear" w:pos="720"/>
        <w:tab w:val="left" w:pos="6120" w:leader="none"/>
      </w:tabs>
      <w:spacing w:before="240" w:after="60"/>
      <w:ind w:hanging="0" w:start="5760" w:end="0"/>
      <w:outlineLvl w:val="8"/>
    </w:pPr>
    <w:rPr>
      <w:rFonts w:ascii="Arial" w:hAnsi="Arial" w:cs="Arial"/>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St7z0">
    <w:name w:val="WW8NumSt7z0"/>
    <w:qFormat/>
    <w:rPr>
      <w:rFonts w:ascii="Symbol" w:hAnsi="Symbol" w:cs="Symbol"/>
    </w:rPr>
  </w:style>
  <w:style w:type="character" w:styleId="WW8NumSt10z0">
    <w:name w:val="WW8NumSt10z0"/>
    <w:qFormat/>
    <w:rPr>
      <w:rFonts w:ascii="Wingdings" w:hAnsi="Wingdings" w:cs="Wingdings"/>
      <w:sz w:val="18"/>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60" w:after="0"/>
      <w:ind w:hanging="0" w:start="864" w:end="0"/>
    </w:pPr>
    <w:rPr>
      <w:sz w:val="24"/>
    </w:rPr>
  </w:style>
  <w:style w:type="paragraph" w:styleId="Bullet1">
    <w:name w:val="Bullet 1"/>
    <w:basedOn w:val="Normal"/>
    <w:qFormat/>
    <w:pPr>
      <w:ind w:hanging="432" w:start="432" w:end="0"/>
    </w:pPr>
    <w:rPr/>
  </w:style>
  <w:style w:type="paragraph" w:styleId="Bullet2">
    <w:name w:val="Bullet 2"/>
    <w:basedOn w:val="Normal"/>
    <w:qFormat/>
    <w:pPr>
      <w:ind w:hanging="432" w:start="864" w:end="0"/>
    </w:pPr>
    <w:rPr/>
  </w:style>
  <w:style w:type="paragraph" w:styleId="Bullet3">
    <w:name w:val="Bullet 3"/>
    <w:basedOn w:val="Normal"/>
    <w:qFormat/>
    <w:pPr>
      <w:ind w:hanging="432" w:start="1296" w:end="0"/>
    </w:pPr>
    <w:rPr>
      <w:sz w:val="24"/>
    </w:rPr>
  </w:style>
  <w:style w:type="paragraph" w:styleId="Indent1">
    <w:name w:val="Indent 1"/>
    <w:basedOn w:val="Normal"/>
    <w:qFormat/>
    <w:pPr>
      <w:ind w:hanging="0" w:start="432" w:end="0"/>
    </w:pPr>
    <w:rPr/>
  </w:style>
  <w:style w:type="paragraph" w:styleId="Indent2">
    <w:name w:val="Indent 2"/>
    <w:basedOn w:val="Normal"/>
    <w:qFormat/>
    <w:pPr>
      <w:ind w:hanging="0" w:start="864" w:end="0"/>
    </w:pPr>
    <w:rPr/>
  </w:style>
  <w:style w:type="paragraph" w:styleId="Indent3">
    <w:name w:val="Indent 3"/>
    <w:basedOn w:val="Normal"/>
    <w:qFormat/>
    <w:pPr>
      <w:ind w:hanging="0" w:start="1296" w:end="0"/>
    </w:pPr>
    <w:rPr/>
  </w:style>
  <w:style w:type="paragraph" w:styleId="Bullet4">
    <w:name w:val="Bullet 4"/>
    <w:basedOn w:val="Normal"/>
    <w:qFormat/>
    <w:pPr>
      <w:ind w:hanging="432" w:start="1728" w:end="0"/>
    </w:pPr>
    <w:rPr/>
  </w:style>
  <w:style w:type="paragraph" w:styleId="FootnoteText">
    <w:name w:val="footnote text"/>
    <w:basedOn w:val="Normal"/>
    <w:pPr>
      <w:ind w:hanging="288" w:start="288"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cs="Book Antiqua"/>
      <w:sz w:val="32"/>
    </w:rPr>
  </w:style>
  <w:style w:type="paragraph" w:styleId="EnvelopeReturn">
    <w:name w:val="envelope return"/>
    <w:basedOn w:val="Normal"/>
    <w:pPr/>
    <w:rPr>
      <w:rFonts w:ascii="Book Antiqua" w:hAnsi="Book Antiqua" w:cs="Book Antiqua"/>
      <w:sz w:val="30"/>
    </w:rPr>
  </w:style>
  <w:style w:type="paragraph" w:styleId="ListNumber">
    <w:name w:val="List Number"/>
    <w:basedOn w:val="Normal"/>
    <w:qFormat/>
    <w:pPr>
      <w:numPr>
        <w:ilvl w:val="0"/>
        <w:numId w:val="12"/>
      </w:numPr>
      <w:ind w:hanging="432" w:start="432" w:end="0"/>
    </w:pPr>
    <w:rPr/>
  </w:style>
  <w:style w:type="paragraph" w:styleId="ListBullet">
    <w:name w:val="List Bullet"/>
    <w:basedOn w:val="Normal"/>
    <w:qFormat/>
    <w:pPr>
      <w:numPr>
        <w:ilvl w:val="0"/>
        <w:numId w:val="13"/>
      </w:numPr>
      <w:ind w:hanging="432" w:start="432" w:end="0"/>
    </w:pPr>
    <w:rPr/>
  </w:style>
  <w:style w:type="paragraph" w:styleId="TableHeading1">
    <w:name w:val="Table Heading 1"/>
    <w:basedOn w:val="Normal"/>
    <w:qFormat/>
    <w:pPr>
      <w:keepNext w:val="true"/>
      <w:tabs>
        <w:tab w:val="clear" w:pos="720"/>
        <w:tab w:val="left" w:pos="4032" w:leader="none"/>
      </w:tabs>
      <w:spacing w:before="120" w:after="120"/>
      <w:jc w:val="center"/>
    </w:pPr>
    <w:rPr>
      <w:rFonts w:ascii="Times New Roman Bold;Times New Roman" w:hAnsi="Times New Roman Bold;Times New Roman" w:cs="Times New Roman Bold;Times New Roman"/>
      <w:b/>
      <w:sz w:val="24"/>
    </w:rPr>
  </w:style>
  <w:style w:type="paragraph" w:styleId="BodyText1">
    <w:name w:val="Body Text 1"/>
    <w:basedOn w:val="Normal"/>
    <w:qFormat/>
    <w:pPr>
      <w:spacing w:before="120" w:after="0"/>
      <w:ind w:hanging="0" w:start="432" w:end="0"/>
    </w:pPr>
    <w:rPr>
      <w:sz w:val="24"/>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432" w:leader="none"/>
        <w:tab w:val="right" w:pos="8630" w:leader="dot"/>
      </w:tabs>
      <w:spacing w:before="60" w:after="0"/>
      <w:ind w:hanging="432" w:start="432" w:end="0"/>
    </w:pPr>
    <w:rPr>
      <w:caps/>
    </w:rPr>
  </w:style>
  <w:style w:type="paragraph" w:styleId="AppendixHeading">
    <w:name w:val="Appendix Heading"/>
    <w:basedOn w:val="Normal"/>
    <w:qFormat/>
    <w:pPr>
      <w:spacing w:before="120" w:after="120"/>
      <w:jc w:val="center"/>
    </w:pPr>
    <w:rPr>
      <w:rFonts w:ascii="Times New Roman Bold;Times New Roman" w:hAnsi="Times New Roman Bold;Times New Roman" w:cs="Times New Roman Bold;Times New Roman"/>
      <w:b/>
    </w:rPr>
  </w:style>
  <w:style w:type="paragraph" w:styleId="AppendixHeading1">
    <w:name w:val="Appendix Heading 1"/>
    <w:basedOn w:val="Normal"/>
    <w:next w:val="BodyText1"/>
    <w:qFormat/>
    <w:pPr>
      <w:numPr>
        <w:ilvl w:val="0"/>
        <w:numId w:val="14"/>
      </w:numPr>
      <w:tabs>
        <w:tab w:val="clear" w:pos="720"/>
        <w:tab w:val="left" w:pos="432" w:leader="none"/>
      </w:tabs>
      <w:spacing w:before="120" w:after="0"/>
      <w:ind w:hanging="432" w:start="432" w:end="0"/>
    </w:pPr>
    <w:rPr>
      <w:b/>
      <w:sz w:val="24"/>
    </w:rPr>
  </w:style>
  <w:style w:type="paragraph" w:styleId="TableofFigures">
    <w:name w:val="Table of Figures"/>
    <w:basedOn w:val="Normal"/>
    <w:next w:val="Normal"/>
    <w:qFormat/>
    <w:pPr>
      <w:ind w:hanging="520" w:start="520" w:end="0"/>
    </w:pPr>
    <w:rPr/>
  </w:style>
  <w:style w:type="paragraph" w:styleId="TOC2">
    <w:name w:val="toc 2"/>
    <w:basedOn w:val="Normal"/>
    <w:next w:val="Normal"/>
    <w:pPr>
      <w:ind w:hanging="432" w:start="864" w:end="0"/>
    </w:pPr>
    <w:rPr/>
  </w:style>
  <w:style w:type="paragraph" w:styleId="TOC3">
    <w:name w:val="toc 3"/>
    <w:basedOn w:val="Normal"/>
    <w:next w:val="Normal"/>
    <w:pPr>
      <w:ind w:hanging="0" w:start="520" w:end="0"/>
    </w:pPr>
    <w:rPr/>
  </w:style>
  <w:style w:type="paragraph" w:styleId="TOC4">
    <w:name w:val="toc 4"/>
    <w:basedOn w:val="Normal"/>
    <w:next w:val="Normal"/>
    <w:pPr>
      <w:ind w:hanging="0" w:start="780" w:end="0"/>
    </w:pPr>
    <w:rPr/>
  </w:style>
  <w:style w:type="paragraph" w:styleId="TOC5">
    <w:name w:val="toc 5"/>
    <w:basedOn w:val="Normal"/>
    <w:next w:val="Normal"/>
    <w:pPr>
      <w:ind w:hanging="0" w:start="1040" w:end="0"/>
    </w:pPr>
    <w:rPr/>
  </w:style>
  <w:style w:type="paragraph" w:styleId="TOC6">
    <w:name w:val="toc 6"/>
    <w:basedOn w:val="Normal"/>
    <w:next w:val="Normal"/>
    <w:pPr>
      <w:ind w:hanging="0" w:start="1300" w:end="0"/>
    </w:pPr>
    <w:rPr/>
  </w:style>
  <w:style w:type="paragraph" w:styleId="TOC7">
    <w:name w:val="toc 7"/>
    <w:basedOn w:val="Normal"/>
    <w:next w:val="Normal"/>
    <w:pPr>
      <w:ind w:hanging="0" w:start="156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Date">
    <w:name w:val="Date"/>
    <w:basedOn w:val="Normal"/>
    <w:next w:val="Normal"/>
    <w:qFormat/>
    <w:pPr/>
    <w:rPr/>
  </w:style>
  <w:style w:type="paragraph" w:styleId="ListContinue">
    <w:name w:val="List Continue"/>
    <w:basedOn w:val="Normal"/>
    <w:qFormat/>
    <w:pPr>
      <w:spacing w:before="0" w:after="120"/>
      <w:ind w:hanging="0" w:start="360" w:end="0"/>
    </w:pPr>
    <w:rPr/>
  </w:style>
  <w:style w:type="paragraph" w:styleId="BodyTextIndent">
    <w:name w:val="Body Text Indent"/>
    <w:basedOn w:val="Normal"/>
    <w:pPr>
      <w:spacing w:before="0" w:after="120"/>
      <w:ind w:hanging="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2001-05-01T14:02:00Z</dcterms:created>
  <dc:creator>A Valued Microsoft Customer</dc:creator>
  <dc:description/>
  <dc:language>en-CA</dc:language>
  <cp:lastModifiedBy>PG&amp;E Employee</cp:lastModifiedBy>
  <cp:lastPrinted>2001-04-24T14:37:00Z</cp:lastPrinted>
  <dcterms:modified xsi:type="dcterms:W3CDTF">2001-05-01T14:02:00Z</dcterms:modified>
  <cp:revision>2</cp:revision>
  <dc:subject/>
  <dc:title>Pacific Gas and Electric Company</dc:title>
</cp:coreProperties>
</file>