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ENA Upstream Company, LLC, a Delaware limited liability company ("</w:t>
      </w:r>
      <w:r>
        <w:rPr>
          <w:rFonts w:cs="Arial Narrow" w:ascii="Arial Narrow" w:hAnsi="Arial Narrow"/>
          <w:sz w:val="18"/>
          <w:u w:val="single"/>
        </w:rPr>
        <w:t>Company</w:t>
      </w:r>
      <w:r>
        <w:rPr>
          <w:rFonts w:cs="Arial Narrow" w:ascii="Arial Narrow" w:hAnsi="Arial Narrow"/>
          <w:sz w:val="18"/>
        </w:rPr>
        <w:t>"), and Ocean Energy, Inc.,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by a written paper-based Transaction Agreement executed by the Parties (including by facsimile and/or counterparts).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Transactions entered into in accordance with this Agreement under laws relating to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Seller’s Nomination (“Buyer’s Requested Quantity”).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Buyer's Requested Quantity and the amount of Gas Scheduled for such Gas Day.  If on any Gas Day Seller Schedule’s Gas in excess of the Buyer’s Requested Quantity, the such occurrence shall constitute a "</w:t>
      </w:r>
      <w:r>
        <w:rPr>
          <w:rFonts w:cs="Arial Narrow" w:ascii="Arial Narrow" w:hAnsi="Arial Narrow"/>
          <w:sz w:val="18"/>
          <w:u w:val="single"/>
        </w:rPr>
        <w:t>Seller’s Overage Default</w:t>
      </w:r>
      <w:r>
        <w:rPr>
          <w:rFonts w:cs="Arial Narrow" w:ascii="Arial Narrow" w:hAnsi="Arial Narrow"/>
          <w:sz w:val="18"/>
        </w:rPr>
        <w:t>" and "</w:t>
      </w:r>
      <w:r>
        <w:rPr>
          <w:rFonts w:cs="Arial Narrow" w:ascii="Arial Narrow" w:hAnsi="Arial Narrow"/>
          <w:sz w:val="18"/>
          <w:u w:val="single"/>
        </w:rPr>
        <w:t>Seller's Overage Quantity</w:t>
      </w:r>
      <w:r>
        <w:rPr>
          <w:rFonts w:cs="Arial Narrow" w:ascii="Arial Narrow" w:hAnsi="Arial Narrow"/>
          <w:sz w:val="18"/>
        </w:rPr>
        <w:t>" shall be the numerical difference between the amount of Gas Scheduled for such Gas Day and Buyer's Requested Quantity.  In the event of a Seller's Deficiency Default, Seller shall pay Buyer an amount equal to the product of the Seller's Deficiency Quantity multiplied by the Replacement Price Differential.  In the event of a Seller’s Overage Default, Seller shall pay Buyer an amount equal to the product of the Seller’s Overage Quantity multiplied by the Replacement Price Differential.  To the extent Customer provides Company with a connection to Customer’s electronic flow measurement system for the purpose of monitoring daily gas flow, this Section 3.2 shall only apply to those wells not connected and accessible by Company electronically.  For the purposes of this Section 3.2, if Seller’s actual deliveries with respect to each Delivery Point for the specified Contract Price as set forth in a Transaction are within five percent (5%) of Seller’s Nomination for each Delivery Point, no Seller Deficiency Default or Seller Overage Default shall have occurred.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Seller’s Nomination.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and take Seller’s Nomination,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Seller’s Nomination, and the quantity of Gas Scheduled for such Gas Day.  In the event of a Buyer's Deficiency Default, Buyer shall pay Seller an amount equal to the product of Buyer's Deficiency Quantity multiplied by the Replacement Price Differential.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Seller’s Nomination for a cumulative period of 30 or more Gas Days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any fractional amount to the next $100,000.00)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amounts Seller is entitled to receive under each Transaction for Gas Scheduled during the 60-Day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sum of $100,000,000.00, or with respect to Customer, at any time Customer shall have defaulted on its indebtedness to third parties resulting in acceleration of Customer’s obligation in excess of $50,000,000.00.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 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require or permit Seller or Buyer to Schedule quantities of Gas in excess of Seller’s Nomination,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Neither Party shall be entitled to the benefit of the provisions of </w:t>
      </w:r>
      <w:r>
        <w:rPr>
          <w:rFonts w:cs="Arial Narrow" w:ascii="Arial Narrow" w:hAnsi="Arial Narrow"/>
          <w:sz w:val="18"/>
          <w:u w:val="single"/>
        </w:rPr>
        <w:t>Force Majeure</w:t>
      </w:r>
      <w:r>
        <w:rPr>
          <w:rFonts w:cs="Arial Narrow" w:ascii="Arial Narrow" w:hAnsi="Arial Narrow"/>
          <w:sz w:val="18"/>
        </w:rPr>
        <w:t xml:space="preserve"> to the extent performance is affected by any or all of the following circumstances; (i) the Party claiming excuse failed to remedy the condition and to resume the performance of such covenants or obligations with reasonable dispatch; or (ii) economic hardship.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60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60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provided that, if Seller’s actual deliveries with respect to each Delivery Point for the specified Contract Price as set forth in a Transaction are within five percent (5%) of Seller’s Nomination for each Delivery Point, no Imbalances shall be deemed to exist for which Seller is the Responsible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To the extent Customer provides Company with a connection to Customer’s electronic flow measurement system for the purpose of monitoring daily gas flow, this Section 7.2 shall only apply to those wells not connected and accessible by Company electronically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ENA UPSTREAM COMPANY,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OCEAN ENERGY [</w:t>
      </w:r>
      <w:r>
        <w:rPr>
          <w:rFonts w:cs="Arial Narrow" w:ascii="Arial Narrow" w:hAnsi="Arial Narrow"/>
          <w:sz w:val="18"/>
          <w:u w:val="single"/>
        </w:rPr>
        <w:t xml:space="preserve">     </w:t>
      </w:r>
      <w:r>
        <w:rPr>
          <w:rFonts w:cs="Arial Narrow" w:ascii="Arial Narrow" w:hAnsi="Arial Narrow"/>
          <w:sz w:val="18"/>
        </w:rPr>
        <w: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lang w:val="en-CA" w:eastAsia="en-CA"/>
        </w:rPr>
        <w:t>O:\Legal\JHODGE\2001\Contracts\01025 Ocean Energy.DOC</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therefore; provided, neither (i) the loss of Buyer’s markets nor Buyer’s inability economically to use or resell Gas purchased hereunder nor (ii) Seller’s ability to sell Gas to a market at a more advantageous price, shall construe an event of </w:t>
      </w:r>
      <w:r>
        <w:rPr>
          <w:rFonts w:cs="Arial Narrow" w:ascii="Arial Narrow" w:hAnsi="Arial Narrow"/>
          <w:sz w:val="18"/>
          <w:u w:val="single"/>
        </w:rPr>
        <w:t>Force Majeure</w:t>
      </w:r>
      <w:r>
        <w:rPr>
          <w:rFonts w:cs="Arial Narrow" w:ascii="Arial Narrow" w:hAnsi="Arial Narrow"/>
          <w:sz w:val="18"/>
        </w:rPr>
        <w:t xml:space="preserve">.  </w:t>
      </w:r>
      <w:r>
        <w:rPr>
          <w:rFonts w:cs="Arial Narrow" w:ascii="Arial Narrow" w:hAnsi="Arial Narrow"/>
          <w:sz w:val="18"/>
          <w:u w:val="single"/>
        </w:rPr>
        <w:t>Force Majeure</w:t>
      </w:r>
      <w:r>
        <w:rPr>
          <w:rFonts w:cs="Arial Narrow" w:ascii="Arial Narrow" w:hAnsi="Arial Narrow"/>
          <w:sz w:val="18"/>
        </w:rPr>
        <w:t xml:space="preserve"> shall include but not be limited to the following:  (i) physical events such as acts of God, landslides, lightening,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 (i) with respect to Company, Enron Corp. shall have long-term debt unsupported by third party credit enhancement that is rated by Standard &amp; Poors Corporation below BBB- or (ii) with respect to Customer, Customer shall have long-term debt unsupported by third party credit enhancement that is rated by Standard &amp; Poors Corporation below 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following the Day in which Seller's Deficiency Default occurred, (ii) in the event of a Seller’s Overage Default, the Spot Price for the Gas Day following the Day in which the Seller’s Overage Default occurred or the applicable cash-out price if the Gas Day following the Day in which the Seller’s Overage Default occurred is the last Day of the Month, and (iii)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On or about the 20th Day of each Month, Seller and Buyer shall meet to discuss projected deliveries for the next Month.  No later than five (5) Business Days prior to the expiration of the prompt Month natural gas contract on the NYMEX, Buyer and Seller shall meet via conference call to review current Month deliveries and projected/forecasted deliveries for the next Month.  Not later than two (2) Business Days preceding the Month of production, Seller shall provide to Buyer nomination of quantities Seller expects to make available and Schedule at each Delivery Point for delivery the following Month.  Seller shall have the right on a daily basis to revise the Seller’s Nomination to Buyer by 3 p.m. C.T. of the Business Day prior to Buyer’s Transporter’s nomination deadline for the next applicable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ENA Upstream Company, LLC</w:t>
      </w:r>
    </w:p>
    <w:p>
      <w:pPr>
        <w:pStyle w:val="Normal"/>
        <w:jc w:val="both"/>
        <w:rPr>
          <w:rFonts w:ascii="Arial Narrow" w:hAnsi="Arial Narrow" w:cs="Arial Narrow"/>
          <w:sz w:val="18"/>
        </w:rPr>
      </w:pPr>
      <w:r>
        <w:rPr>
          <w:rFonts w:cs="Arial Narrow" w:ascii="Arial Narrow" w:hAnsi="Arial Narrow"/>
          <w:sz w:val="18"/>
        </w:rPr>
        <w:t>Bank of America, N.A.</w:t>
      </w:r>
    </w:p>
    <w:p>
      <w:pPr>
        <w:pStyle w:val="Normal"/>
        <w:jc w:val="both"/>
        <w:rPr>
          <w:rFonts w:ascii="Arial Narrow" w:hAnsi="Arial Narrow" w:cs="Arial Narrow"/>
          <w:sz w:val="18"/>
        </w:rPr>
      </w:pPr>
      <w:r>
        <w:rPr>
          <w:rFonts w:cs="Arial Narrow" w:ascii="Arial Narrow" w:hAnsi="Arial Narrow"/>
          <w:sz w:val="18"/>
        </w:rPr>
        <w:t>Dallas, Texas</w:t>
      </w:r>
    </w:p>
    <w:p>
      <w:pPr>
        <w:pStyle w:val="Normal"/>
        <w:jc w:val="both"/>
        <w:rPr>
          <w:rFonts w:ascii="Arial Narrow" w:hAnsi="Arial Narrow" w:cs="Arial Narrow"/>
          <w:sz w:val="18"/>
        </w:rPr>
      </w:pPr>
      <w:r>
        <w:rPr>
          <w:rFonts w:cs="Arial Narrow" w:ascii="Arial Narrow" w:hAnsi="Arial Narrow"/>
          <w:sz w:val="18"/>
        </w:rPr>
        <w:t>ABA Routing No.:</w:t>
        <w:tab/>
        <w:t>111000012</w:t>
      </w:r>
    </w:p>
    <w:p>
      <w:pPr>
        <w:pStyle w:val="Normal"/>
        <w:jc w:val="both"/>
        <w:rPr>
          <w:rFonts w:ascii="Arial Narrow" w:hAnsi="Arial Narrow" w:cs="Arial Narrow"/>
          <w:sz w:val="18"/>
        </w:rPr>
      </w:pPr>
      <w:r>
        <w:rPr>
          <w:rFonts w:cs="Arial Narrow" w:ascii="Arial Narrow" w:hAnsi="Arial Narrow"/>
          <w:sz w:val="18"/>
        </w:rPr>
        <w:t>Account No.</w:t>
        <w:tab/>
        <w:t>3751777485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Ocean Energy,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3600" w:leader="none"/>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4320" w:leader="none"/>
          <w:tab w:val="left" w:pos="5040" w:leader="none"/>
          <w:tab w:val="left" w:pos="9360" w:leader="none"/>
        </w:tabs>
        <w:jc w:val="center"/>
        <w:rPr>
          <w:b/>
          <w:sz w:val="22"/>
        </w:rPr>
      </w:pPr>
      <w:r>
        <w:rPr>
          <w:b/>
          <w:sz w:val="22"/>
        </w:rPr>
        <w:t>EXHIBIT “B”</w: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/mnt/main-storage/datasets/enron-docs/doc/OE_Attachment.doc</w:t>
      </w:r>
      <w:r>
        <w:rPr>
          <w:sz w:val="16"/>
        </w:rPr>
        <w:fldChar w:fldCharType="end"/>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2001-09-04T18:13:00Z</dcterms:created>
  <dc:creator>jrozycki</dc:creator>
  <dc:description/>
  <dc:language>en-CA</dc:language>
  <cp:lastModifiedBy>gnemec</cp:lastModifiedBy>
  <cp:lastPrinted>2001-09-04T13:03:00Z</cp:lastPrinted>
  <dcterms:modified xsi:type="dcterms:W3CDTF">2001-09-04T18:13:00Z</dcterms:modified>
  <cp:revision>2</cp:revision>
  <dc:subject/>
  <dc:title>ENFOLIO® MASTER FIRM PURCHASE/SALE AGREEMENT</dc:title>
</cp:coreProperties>
</file>