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Terms and Conditions for a Proposed Transaction</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between</w:t>
      </w:r>
    </w:p>
    <w:p>
      <w:pPr>
        <w:pStyle w:val="Heading6"/>
        <w:ind w:hanging="0" w:start="0"/>
        <w:rPr/>
      </w:pPr>
      <w:r>
        <w:rPr/>
        <w:t>Enron North America Corp.,</w:t>
      </w:r>
      <w:r>
        <w:rPr>
          <w:b w:val="false"/>
        </w:rPr>
        <w:t xml:space="preserve"> </w:t>
      </w:r>
      <w:r>
        <w:rPr/>
        <w:t>Aquila Energy Corp., and</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Onondaga Cogeneration Limited Partnership</w:t>
      </w:r>
    </w:p>
    <w:p>
      <w:pPr>
        <w:pStyle w:val="Normal"/>
        <w:widowControl/>
        <w:tabs>
          <w:tab w:val="clear" w:pos="540"/>
          <w:tab w:val="left" w:pos="-1440" w:leader="none"/>
        </w:tabs>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540"/>
          <w:tab w:val="left" w:pos="-1440" w:leader="none"/>
        </w:tabs>
        <w:jc w:val="both"/>
        <w:rPr>
          <w:rFonts w:ascii="Times New Roman" w:hAnsi="Times New Roman" w:cs="Times New Roman"/>
          <w:sz w:val="22"/>
        </w:rPr>
      </w:pPr>
      <w:r>
        <w:rPr>
          <w:rFonts w:cs="Times New Roman" w:ascii="Times New Roman" w:hAnsi="Times New Roman"/>
          <w:sz w:val="22"/>
        </w:rPr>
      </w:r>
    </w:p>
    <w:p>
      <w:pPr>
        <w:pStyle w:val="Heading4"/>
        <w:ind w:hanging="0" w:start="0"/>
        <w:rPr>
          <w:rFonts w:ascii="Times New Roman" w:hAnsi="Times New Roman" w:cs="Times New Roman"/>
        </w:rPr>
      </w:pPr>
      <w:r>
        <w:rPr>
          <w:rFonts w:cs="Times New Roman" w:ascii="Times New Roman" w:hAnsi="Times New Roman"/>
        </w:rPr>
        <w:t>Purpose</w:t>
      </w:r>
    </w:p>
    <w:p>
      <w:pPr>
        <w:pStyle w:val="Normal"/>
        <w:widowControl/>
        <w:rPr>
          <w:rFonts w:ascii="Times New Roman" w:hAnsi="Times New Roman" w:cs="Times New Roman"/>
          <w:sz w:val="22"/>
        </w:rPr>
      </w:pPr>
      <w:r>
        <w:rPr>
          <w:rFonts w:cs="Times New Roman" w:ascii="Times New Roman" w:hAnsi="Times New Roman"/>
          <w:sz w:val="22"/>
        </w:rPr>
      </w:r>
    </w:p>
    <w:p>
      <w:pPr>
        <w:pStyle w:val="BodyText"/>
        <w:rPr/>
      </w:pPr>
      <w:r>
        <w:rPr/>
        <w:t>This proposal outlines certain economic and other terms and conditions under which Enron North America Corp. (“ENA”), Aquila Energy Corp. (“Aquila”), and Onondaga Cogeneration Limited Partnership (“OCLP”) would enter into negotiations to effect a refinancing of the existing ISDA Swap Agreement (“the Swap Agreement”) between OCLP and Niagara Mohawk Power Corporation (“NIMO”) dated June 30, 1998 (the “Swap Refinancing Proposal”).</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ENA’s Swap Refinancing Proposal is contingent upon the successful negotiation and execution by ENA, Aquila, and OCLP of definitive agreements necessary for the sale/redemption of ENA’s cash flow interest in OCLP, as such interest is described in the Cash Flow Interest Agreement (“CFIA”) between OCLP and Enron Capital and Trade Resources, Corp., dated June 30, 1998.</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 xml:space="preserve">This Swap Refinancing Proposal is being provided to Aquila and OCLP for discussion purposes only, and does not represent a binding commitment on the part of ENA to enter into any transaction.  </w:t>
      </w:r>
    </w:p>
    <w:p>
      <w:pPr>
        <w:pStyle w:val="Normal"/>
        <w:widowControl/>
        <w:rPr>
          <w:rFonts w:ascii="Times New Roman" w:hAnsi="Times New Roman" w:cs="Times New Roman"/>
          <w:sz w:val="22"/>
        </w:rPr>
      </w:pPr>
      <w:r>
        <w:rPr>
          <w:rFonts w:cs="Times New Roman" w:ascii="Times New Roman" w:hAnsi="Times New Roman"/>
          <w:sz w:val="22"/>
        </w:rPr>
      </w:r>
    </w:p>
    <w:p>
      <w:pPr>
        <w:pStyle w:val="Heading2"/>
        <w:ind w:hanging="0" w:start="0"/>
        <w:rPr>
          <w:sz w:val="24"/>
          <w:u w:val="none"/>
        </w:rPr>
      </w:pPr>
      <w:r>
        <w:rPr>
          <w:sz w:val="24"/>
          <w:u w:val="none"/>
        </w:rPr>
        <w:t>Swap Refinancing Proposal</w:t>
      </w:r>
    </w:p>
    <w:p>
      <w:pPr>
        <w:pStyle w:val="Normal"/>
        <w:widowControl/>
        <w:rPr>
          <w:rFonts w:ascii="Times New Roman" w:hAnsi="Times New Roman" w:cs="Times New Roman"/>
          <w:sz w:val="22"/>
          <w:u w:val="none"/>
        </w:rPr>
      </w:pPr>
      <w:r>
        <w:rPr>
          <w:rFonts w:cs="Times New Roman" w:ascii="Times New Roman" w:hAnsi="Times New Roman"/>
          <w:sz w:val="22"/>
          <w:u w:val="none"/>
        </w:rPr>
      </w:r>
    </w:p>
    <w:p>
      <w:pPr>
        <w:pStyle w:val="Normal"/>
        <w:widowControl/>
        <w:rPr>
          <w:rFonts w:ascii="Times New Roman" w:hAnsi="Times New Roman" w:cs="Times New Roman"/>
          <w:sz w:val="22"/>
        </w:rPr>
      </w:pPr>
      <w:r>
        <w:rPr>
          <w:rFonts w:cs="Times New Roman" w:ascii="Times New Roman" w:hAnsi="Times New Roman"/>
          <w:sz w:val="22"/>
        </w:rPr>
        <w:t>ENA, Aquila, and OCLP shall enter into negotiation of a definitive agreement (the “Agreement”) which shall include the following provisions: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 xml:space="preserve">OCLP shall permanently assign, pledge, or otherwise transfer, in a form acceptable to ENA, all (100%) of OCLP’s rights, entitlements, and interests in the Swap Agreement.  </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 xml:space="preserve">The timing of any payments made to OCLP by ENA under the Agreement shall coincide with the date of any payments owed to ENA by NIMO under the terms and conditions of the Swap Agreement.  </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Each of Aquila and OCLP shall provide assurances including but not limited to financial guarantees, in a form acceptable to ENA, that OCLP shall achieve and/or maintain any and all capacity tests, requirements, conditions or limitations necessary for ENA to receive its expected economic benefits under the Swap Agreement.</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The Agreement shall contain cross-default provisions with respect to the Swap Agreement.  Aquila and OCLP shall provide customary credit assurances for a transaction of this nature.</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Each of Aquila and OCLP shall provide customary representations and warranties for a transaction of this nature.</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The Agreement shall contain customary conditions precedent for a transaction of this nature, including the sale by ENA of its cash flow interest in OCLP.</w:t>
      </w:r>
    </w:p>
    <w:p>
      <w:pPr>
        <w:pStyle w:val="Normal"/>
        <w:widowControl/>
        <w:numPr>
          <w:ilvl w:val="0"/>
          <w:numId w:val="2"/>
        </w:numPr>
        <w:rPr>
          <w:rFonts w:ascii="Times New Roman" w:hAnsi="Times New Roman" w:cs="Times New Roman"/>
          <w:sz w:val="22"/>
        </w:rPr>
      </w:pPr>
      <w:r>
        <w:rPr>
          <w:rFonts w:cs="Times New Roman" w:ascii="Times New Roman" w:hAnsi="Times New Roman"/>
          <w:sz w:val="22"/>
        </w:rPr>
        <w:t>The Agreement shall provide for the following payments to OCLP:</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March 1, 2001 through December 31, 2001:</w:t>
        <w:tab/>
        <w:t>$2,891,000 per month</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January 1, 2002 through December 31, 2002:</w:t>
        <w:tab/>
        <w:t>$2,392,000 per month</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January 1, 2003 through June 30, 2008:</w:t>
        <w:tab/>
        <w:tab/>
        <w:t>$1,265,982 per month</w:t>
      </w:r>
    </w:p>
    <w:sectPr>
      <w:headerReference w:type="default" r:id="rId2"/>
      <w:footerReference w:type="default" r:id="rId3"/>
      <w:type w:val="nextPage"/>
      <w:pgSz w:w="12240" w:h="15840"/>
      <w:pgMar w:left="1296"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tabs>
        <w:tab w:val="clear" w:pos="8640"/>
        <w:tab w:val="left" w:pos="-1440" w:leader="none"/>
        <w:tab w:val="center" w:pos="4320" w:leader="none"/>
        <w:tab w:val="right" w:pos="9630" w:leader="none"/>
      </w:tabs>
      <w:jc w:val="center"/>
      <w:rPr>
        <w:b/>
        <w:i/>
        <w:i/>
        <w:sz w:val="20"/>
      </w:rPr>
    </w:pPr>
    <w:r>
      <w:rPr>
        <w:b/>
        <w:i/>
        <w:sz w:val="20"/>
      </w:rPr>
      <w:t>Confidential - For Discussion Purposes Only - Not an offer</w:t>
    </w:r>
  </w:p>
  <w:p>
    <w:pPr>
      <w:pStyle w:val="Footer"/>
      <w:widowControl/>
      <w:pBdr>
        <w:top w:val="single" w:sz="6" w:space="1" w:color="000000"/>
      </w:pBdr>
      <w:tabs>
        <w:tab w:val="clear" w:pos="4320"/>
        <w:tab w:val="clear" w:pos="8640"/>
        <w:tab w:val="left" w:pos="-1440" w:leader="none"/>
        <w:tab w:val="center" w:pos="4860" w:leader="none"/>
        <w:tab w:val="right" w:pos="9360" w:leader="none"/>
      </w:tabs>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Times"/>
        <w:i/>
        <w:sz w:val="16"/>
      </w:rPr>
      <w:t xml:space="preserve">  </w:t>
    </w:r>
    <w:r>
      <w:rPr>
        <w:i/>
        <w:sz w:val="16"/>
      </w:rPr>
      <w:tab/>
      <w:tab/>
      <w:t xml:space="preserve">Page </w:t>
    </w:r>
    <w:r>
      <w:rPr>
        <w:i/>
        <w:sz w:val="16"/>
      </w:rPr>
      <w:fldChar w:fldCharType="begin"/>
    </w:r>
    <w:r>
      <w:rPr>
        <w:sz w:val="16"/>
        <w:i/>
      </w:rPr>
      <w:instrText xml:space="preserve"> PAGE </w:instrText>
    </w:r>
    <w:r>
      <w:rPr>
        <w:sz w:val="16"/>
        <w:i/>
      </w:rPr>
      <w:fldChar w:fldCharType="separate"/>
    </w:r>
    <w:r>
      <w:rPr>
        <w:sz w:val="16"/>
        <w:i/>
      </w:rPr>
      <w:t>1</w:t>
    </w:r>
    <w:r>
      <w:rPr>
        <w:sz w:val="16"/>
        <w:i/>
      </w:rPr>
      <w:fldChar w:fldCharType="end"/>
    </w:r>
    <w:r>
      <w:rPr>
        <w:i/>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rFonts w:ascii="Times New Roman" w:hAnsi="Times New Roman" w:cs="Times New Roman"/>
        <w:b/>
      </w:rPr>
    </w:pPr>
    <w:r>
      <w:rPr>
        <w:rFonts w:cs="Times New Roman" w:ascii="Times New Roman" w:hAnsi="Times New Roman"/>
        <w:b/>
      </w:rPr>
      <w:t>ENRON NORTH AMERICA CORP.</w:t>
      <w:tab/>
    </w:r>
  </w:p>
  <w:p>
    <w:pPr>
      <w:pStyle w:val="Header"/>
      <w:widowControl/>
      <w:jc w:val="center"/>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Term Sheet to Onondaga Cogeneration Limited Partnership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1440" w:leader="none"/>
        <w:tab w:val="left" w:pos="540" w:leader="none"/>
      </w:tabs>
      <w:bidi w:val="0"/>
    </w:pPr>
    <w:rPr>
      <w:rFonts w:ascii="Times" w:hAnsi="Times" w:eastAsia="Times New Roman" w:cs="Times"/>
      <w:color w:val="auto"/>
      <w:sz w:val="24"/>
      <w:szCs w:val="20"/>
      <w:lang w:val="en-US" w:bidi="ar-SA" w:eastAsia="zh-CN"/>
    </w:rPr>
  </w:style>
  <w:style w:type="paragraph" w:styleId="Heading1">
    <w:name w:val="heading 1"/>
    <w:basedOn w:val="Normal"/>
    <w:next w:val="Normal"/>
    <w:qFormat/>
    <w:pPr>
      <w:numPr>
        <w:ilvl w:val="0"/>
        <w:numId w:val="1"/>
      </w:numPr>
      <w:tabs>
        <w:tab w:val="clear" w:pos="540"/>
        <w:tab w:val="left" w:pos="-1440" w:leader="none"/>
      </w:tabs>
      <w:spacing w:before="240" w:after="0"/>
      <w:outlineLvl w:val="0"/>
    </w:pPr>
    <w:rPr>
      <w:rFonts w:ascii="Arial" w:hAnsi="Arial" w:cs="Arial"/>
      <w:b/>
      <w:u w:val="single"/>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sz w:val="22"/>
      <w:u w:val="single"/>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widowControl/>
      <w:numPr>
        <w:ilvl w:val="3"/>
        <w:numId w:val="1"/>
      </w:numPr>
      <w:outlineLvl w:val="3"/>
    </w:pPr>
    <w:rPr>
      <w:b/>
    </w:rPr>
  </w:style>
  <w:style w:type="paragraph" w:styleId="Heading5">
    <w:name w:val="heading 5"/>
    <w:basedOn w:val="Normal"/>
    <w:next w:val="Normal"/>
    <w:qFormat/>
    <w:pPr>
      <w:keepNext w:val="true"/>
      <w:widowControl/>
      <w:numPr>
        <w:ilvl w:val="4"/>
        <w:numId w:val="1"/>
      </w:numPr>
      <w:tabs>
        <w:tab w:val="clear" w:pos="540"/>
        <w:tab w:val="left" w:pos="-1440" w:leader="none"/>
        <w:tab w:val="left" w:pos="0" w:leader="none"/>
      </w:tabs>
      <w:outlineLvl w:val="4"/>
    </w:pPr>
    <w:rPr>
      <w:rFonts w:ascii="Times New Roman" w:hAnsi="Times New Roman" w:cs="Times New Roman"/>
      <w:b/>
      <w:sz w:val="22"/>
    </w:rPr>
  </w:style>
  <w:style w:type="paragraph" w:styleId="Heading6">
    <w:name w:val="heading 6"/>
    <w:basedOn w:val="Normal"/>
    <w:next w:val="Normal"/>
    <w:qFormat/>
    <w:pPr>
      <w:keepNext w:val="true"/>
      <w:widowControl/>
      <w:numPr>
        <w:ilvl w:val="5"/>
        <w:numId w:val="1"/>
      </w:numPr>
      <w:tabs>
        <w:tab w:val="clear" w:pos="540"/>
        <w:tab w:val="left" w:pos="-1440" w:leader="none"/>
      </w:tabs>
      <w:jc w:val="center"/>
      <w:outlineLvl w:val="5"/>
    </w:pPr>
    <w:rPr>
      <w:rFonts w:ascii="Times New Roman" w:hAnsi="Times New Roman" w:cs="Times New Roman"/>
      <w:b/>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4">
    <w:name w:val="toc 4"/>
    <w:basedOn w:val="Normal"/>
    <w:next w:val="Normal"/>
    <w:pPr>
      <w:tabs>
        <w:tab w:val="clear" w:pos="540"/>
        <w:tab w:val="left" w:pos="-1440" w:leader="none"/>
        <w:tab w:val="right" w:pos="9216" w:leader="dot"/>
      </w:tabs>
      <w:ind w:hanging="0" w:start="480" w:end="0"/>
    </w:pPr>
    <w:rPr>
      <w:rFonts w:ascii="Times New Roman" w:hAnsi="Times New Roman" w:cs="Times New Roman"/>
      <w:sz w:val="18"/>
    </w:rPr>
  </w:style>
  <w:style w:type="paragraph" w:styleId="HeaderandFooter">
    <w:name w:val="Header and Footer"/>
    <w:basedOn w:val="Normal"/>
    <w:qFormat/>
    <w:pPr>
      <w:suppressLineNumbers/>
      <w:tabs>
        <w:tab w:val="clear" w:pos="-1440"/>
        <w:tab w:val="clear" w:pos="540"/>
        <w:tab w:val="center" w:pos="4986" w:leader="none"/>
        <w:tab w:val="right" w:pos="9972" w:leader="none"/>
      </w:tabs>
    </w:pPr>
    <w:rPr/>
  </w:style>
  <w:style w:type="paragraph" w:styleId="Footer">
    <w:name w:val="footer"/>
    <w:basedOn w:val="Normal"/>
    <w:pPr>
      <w:tabs>
        <w:tab w:val="clear" w:pos="540"/>
        <w:tab w:val="left" w:pos="-1440" w:leader="none"/>
        <w:tab w:val="center" w:pos="4320" w:leader="none"/>
        <w:tab w:val="right" w:pos="8640" w:leader="none"/>
      </w:tabs>
    </w:pPr>
    <w:rPr/>
  </w:style>
  <w:style w:type="paragraph" w:styleId="Header">
    <w:name w:val="header"/>
    <w:basedOn w:val="Normal"/>
    <w:pPr>
      <w:tabs>
        <w:tab w:val="clear" w:pos="540"/>
        <w:tab w:val="left" w:pos="-1440" w:leader="none"/>
        <w:tab w:val="center" w:pos="4320" w:leader="none"/>
        <w:tab w:val="right" w:pos="8640" w:leader="none"/>
      </w:tabs>
    </w:pPr>
    <w:rPr/>
  </w:style>
  <w:style w:type="paragraph" w:styleId="To">
    <w:name w:val="To"/>
    <w:basedOn w:val="Normal"/>
    <w:qFormat/>
    <w:pPr>
      <w:tabs>
        <w:tab w:val="clear" w:pos="540"/>
        <w:tab w:val="left" w:pos="-1440" w:leader="none"/>
      </w:tabs>
    </w:pPr>
    <w:rPr>
      <w:rFonts w:ascii="Arial" w:hAnsi="Arial" w:cs="Arial"/>
      <w:sz w:val="36"/>
    </w:rPr>
  </w:style>
  <w:style w:type="paragraph" w:styleId="ToCompany">
    <w:name w:val="ToCompany"/>
    <w:basedOn w:val="Normal"/>
    <w:qFormat/>
    <w:pPr>
      <w:tabs>
        <w:tab w:val="clear" w:pos="540"/>
        <w:tab w:val="left" w:pos="-1440" w:leader="none"/>
      </w:tabs>
    </w:pPr>
    <w:rPr>
      <w:rFonts w:ascii="Arial" w:hAnsi="Arial" w:cs="Arial"/>
      <w:sz w:val="28"/>
    </w:rPr>
  </w:style>
  <w:style w:type="paragraph" w:styleId="ToFax">
    <w:name w:val="ToFax"/>
    <w:basedOn w:val="Normal"/>
    <w:qFormat/>
    <w:pPr>
      <w:tabs>
        <w:tab w:val="clear" w:pos="540"/>
        <w:tab w:val="left" w:pos="-1440" w:leader="none"/>
      </w:tabs>
    </w:pPr>
    <w:rPr>
      <w:rFonts w:ascii="Arial" w:hAnsi="Arial" w:cs="Arial"/>
      <w:sz w:val="28"/>
    </w:rPr>
  </w:style>
  <w:style w:type="paragraph" w:styleId="Date">
    <w:name w:val="Date"/>
    <w:basedOn w:val="Normal"/>
    <w:qFormat/>
    <w:pPr>
      <w:tabs>
        <w:tab w:val="clear" w:pos="540"/>
        <w:tab w:val="left" w:pos="-1440" w:leader="none"/>
      </w:tabs>
      <w:spacing w:before="360" w:after="0"/>
    </w:pPr>
    <w:rPr>
      <w:rFonts w:ascii="Arial" w:hAnsi="Arial" w:cs="Arial"/>
      <w:sz w:val="28"/>
    </w:rPr>
  </w:style>
  <w:style w:type="paragraph" w:styleId="Pages">
    <w:name w:val="Pages"/>
    <w:basedOn w:val="Normal"/>
    <w:qFormat/>
    <w:pPr>
      <w:tabs>
        <w:tab w:val="clear" w:pos="540"/>
        <w:tab w:val="left" w:pos="-1440" w:leader="none"/>
      </w:tabs>
    </w:pPr>
    <w:rPr>
      <w:rFonts w:ascii="Arial" w:hAnsi="Arial" w:cs="Arial"/>
      <w:sz w:val="28"/>
    </w:rPr>
  </w:style>
  <w:style w:type="paragraph" w:styleId="Comments">
    <w:name w:val="Comments"/>
    <w:basedOn w:val="Normal"/>
    <w:next w:val="Normal"/>
    <w:qFormat/>
    <w:pPr>
      <w:tabs>
        <w:tab w:val="clear" w:pos="540"/>
        <w:tab w:val="left" w:pos="-1440" w:leader="none"/>
      </w:tabs>
      <w:spacing w:before="240" w:after="120"/>
    </w:pPr>
    <w:rPr>
      <w:rFonts w:ascii="Arial" w:hAnsi="Arial" w:cs="Arial"/>
      <w:b/>
      <w:sz w:val="28"/>
    </w:rPr>
  </w:style>
  <w:style w:type="paragraph" w:styleId="ToPhone">
    <w:name w:val="ToPhone"/>
    <w:basedOn w:val="ToCompany"/>
    <w:qFormat/>
    <w:pPr/>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2001-02-14T13:28:00Z</dcterms:created>
  <dc:creator>ECT</dc:creator>
  <dc:description/>
  <dc:language>en-CA</dc:language>
  <cp:lastModifiedBy>Fred Mitro</cp:lastModifiedBy>
  <cp:lastPrinted>2001-02-14T11:56:00Z</cp:lastPrinted>
  <dcterms:modified xsi:type="dcterms:W3CDTF">2001-02-14T15:30:00Z</dcterms:modified>
  <cp:revision>5</cp:revision>
  <dc:subject/>
  <dc:title>ENRON CORP </dc:title>
</cp:coreProperties>
</file>