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Terms and Conditions for the Proposed Transaction(s)</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between</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Enron North America Corp.</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and</w:t>
      </w:r>
    </w:p>
    <w:p>
      <w:pPr>
        <w:pStyle w:val="Normal"/>
        <w:widowControl/>
        <w:tabs>
          <w:tab w:val="clear" w:pos="540"/>
          <w:tab w:val="left" w:pos="-1440" w:leader="none"/>
        </w:tabs>
        <w:jc w:val="center"/>
        <w:rPr>
          <w:rFonts w:ascii="Times New Roman" w:hAnsi="Times New Roman" w:cs="Times New Roman"/>
          <w:b/>
          <w:sz w:val="22"/>
        </w:rPr>
      </w:pPr>
      <w:r>
        <w:rPr>
          <w:rFonts w:cs="Times New Roman" w:ascii="Times New Roman" w:hAnsi="Times New Roman"/>
          <w:b/>
          <w:sz w:val="22"/>
        </w:rPr>
        <w:t>Onondaga Cogeneration Limited Partnership</w:t>
      </w:r>
    </w:p>
    <w:p>
      <w:pPr>
        <w:pStyle w:val="Normal"/>
        <w:widowControl/>
        <w:tabs>
          <w:tab w:val="clear" w:pos="540"/>
          <w:tab w:val="left" w:pos="-1440" w:leader="none"/>
        </w:tabs>
        <w:jc w:val="both"/>
        <w:rPr>
          <w:rFonts w:ascii="Times New Roman" w:hAnsi="Times New Roman" w:cs="Times New Roman"/>
          <w:b/>
          <w:sz w:val="22"/>
        </w:rPr>
      </w:pPr>
      <w:r>
        <w:rPr>
          <w:rFonts w:cs="Times New Roman" w:ascii="Times New Roman" w:hAnsi="Times New Roman"/>
          <w:b/>
          <w:sz w:val="22"/>
        </w:rPr>
      </w:r>
    </w:p>
    <w:p>
      <w:pPr>
        <w:pStyle w:val="Heading4"/>
        <w:ind w:hanging="0" w:start="0"/>
        <w:rPr>
          <w:rFonts w:ascii="Times New Roman" w:hAnsi="Times New Roman" w:cs="Times New Roman"/>
        </w:rPr>
      </w:pPr>
      <w:r>
        <w:rPr>
          <w:rFonts w:cs="Times New Roman" w:ascii="Times New Roman" w:hAnsi="Times New Roman"/>
        </w:rPr>
        <w:t>Purpose</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 xml:space="preserve">This proposal outlines the general terms and conditions under which Enron North America Corp. (“ENA”) and Onondaga Cogeneration Limited Partnership (“OCLP”) would enter into negotiations of Definitive Agreements that, when fully executed, would effect the following commercial transactions: </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1) A refinancing of the existing ISDA Swap Agreement (“the Swap Agreement”) between OCLP and Niagara Mohawk Power Corporation (“NIMO”) dated June 30, 1998, and</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2) The sale or redemption to OCLP of ENA’s Cash Flow Interest (“CFI”) in OCLP, as described in the Cash Flow Interest Agreement (“CFIA”) between OCLP and Enron Capital and Trade Resources, Corp., dated June 30, 1998. </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ENA’s objectives in providing this proposal to OCLP are to maximize the value of the Swap Agreement to OCLP and ENA via its CFI in OCLP, and to sell or otherwise redeem ENA’s CFI in OCLP under a set of fair market value terms and conditions.  It is ENA’s preference to negotiate and execute a transaction with OCLP that would encompass either a combined 1) &amp; 2) above or 2) above only.</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r>
    </w:p>
    <w:p>
      <w:pPr>
        <w:pStyle w:val="Heading2"/>
        <w:ind w:hanging="0" w:start="0"/>
        <w:rPr>
          <w:sz w:val="24"/>
          <w:u w:val="none"/>
        </w:rPr>
      </w:pPr>
      <w:r>
        <w:rPr>
          <w:sz w:val="24"/>
          <w:u w:val="none"/>
        </w:rPr>
        <w:t>Swap Agreement - Refinancing Transaction</w:t>
      </w:r>
    </w:p>
    <w:p>
      <w:pPr>
        <w:pStyle w:val="Normal"/>
        <w:widowControl/>
        <w:rPr>
          <w:rFonts w:ascii="Times New Roman" w:hAnsi="Times New Roman" w:cs="Times New Roman"/>
          <w:sz w:val="22"/>
          <w:u w:val="none"/>
        </w:rPr>
      </w:pPr>
      <w:r>
        <w:rPr>
          <w:rFonts w:cs="Times New Roman" w:ascii="Times New Roman" w:hAnsi="Times New Roman"/>
          <w:sz w:val="22"/>
          <w:u w:val="none"/>
        </w:rPr>
      </w:r>
    </w:p>
    <w:p>
      <w:pPr>
        <w:pStyle w:val="Normal"/>
        <w:widowControl/>
        <w:rPr>
          <w:rFonts w:ascii="Times New Roman" w:hAnsi="Times New Roman" w:cs="Times New Roman"/>
          <w:sz w:val="22"/>
        </w:rPr>
      </w:pPr>
      <w:r>
        <w:rPr>
          <w:rFonts w:cs="Times New Roman" w:ascii="Times New Roman" w:hAnsi="Times New Roman"/>
          <w:sz w:val="22"/>
        </w:rPr>
        <w:t>In order to maximize the value to OCLP and ENA of the Swap Agreement, OCLP and ENA are interested in entering into a Definitive Agreement that would provide for the refinancing of OCLP’s interest in the Swap Agreement.  The key commercial terms of the proposed Refinancing Transaction are described below:</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ENA Payments to OCLP:</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March 1, 2001 through December 31, 2001:</w:t>
        <w:tab/>
        <w:t>$2,891,000 per month</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January 1, 2002 through December 31, 2002:</w:t>
        <w:tab/>
        <w:t>$2,392,000 per month</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January 1, 2003 through June 30, 2008:</w:t>
        <w:tab/>
        <w:tab/>
        <w:t>$_________ per month</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 xml:space="preserve">Upon the execution of a Definitive Agreement, OCLP shall permanently assign, pledge, or otherwise transfer, in a form acceptable to ENA, all (100%) of OCLP’s rights, entitlements, and interests in the Swap Agreement.  The timing of any payments made to OCLP by ENA under the proposed Refinancing Transaction shall coincide with the date of any payments owed to ENA by NIMO under the terms and conditions of the Swap Agreement.  OCLP shall provide assurances including but not limited to financial guarantees, in a form acceptable to ENA, that OCLP shall achieve and/or maintain any and all capacity tests, requirements, conditions or limitations necessary for ENA to receive its expected economic benefits under the Swap Agreement. </w:t>
      </w:r>
      <w:r>
        <w:br w:type="page"/>
      </w:r>
    </w:p>
    <w:p>
      <w:pPr>
        <w:pStyle w:val="Normal"/>
        <w:widowControl/>
        <w:rPr>
          <w:rFonts w:ascii="Times New Roman" w:hAnsi="Times New Roman" w:cs="Times New Roman"/>
          <w:sz w:val="22"/>
        </w:rPr>
      </w:pPr>
      <w:r>
        <w:rPr>
          <w:rFonts w:cs="Times New Roman" w:ascii="Times New Roman" w:hAnsi="Times New Roman"/>
          <w:sz w:val="22"/>
        </w:rPr>
      </w:r>
    </w:p>
    <w:p>
      <w:pPr>
        <w:pStyle w:val="Heading4"/>
        <w:ind w:hanging="0" w:start="0"/>
        <w:rPr>
          <w:rFonts w:ascii="Times New Roman" w:hAnsi="Times New Roman" w:cs="Times New Roman"/>
          <w:sz w:val="22"/>
        </w:rPr>
      </w:pPr>
      <w:r>
        <w:rPr>
          <w:rFonts w:cs="Times New Roman" w:ascii="Times New Roman" w:hAnsi="Times New Roman"/>
          <w:sz w:val="22"/>
        </w:rPr>
      </w:r>
    </w:p>
    <w:p>
      <w:pPr>
        <w:pStyle w:val="Heading4"/>
        <w:ind w:hanging="0" w:start="0"/>
        <w:rPr/>
      </w:pPr>
      <w:r>
        <w:rPr/>
      </w:r>
    </w:p>
    <w:p>
      <w:pPr>
        <w:pStyle w:val="Heading4"/>
        <w:ind w:hanging="0" w:start="0"/>
        <w:rPr/>
      </w:pPr>
      <w:r>
        <w:rPr/>
        <w:t>Sale of ENA Cash Flow Interest</w:t>
      </w:r>
    </w:p>
    <w:p>
      <w:pPr>
        <w:pStyle w:val="Normal"/>
        <w:rPr/>
      </w:pPr>
      <w:r>
        <w:rPr/>
      </w:r>
    </w:p>
    <w:p>
      <w:pPr>
        <w:pStyle w:val="Normal"/>
        <w:widowControl/>
        <w:rPr>
          <w:rFonts w:ascii="Times New Roman" w:hAnsi="Times New Roman" w:cs="Times New Roman"/>
          <w:sz w:val="22"/>
        </w:rPr>
      </w:pPr>
      <w:r>
        <w:rPr>
          <w:rFonts w:cs="Times New Roman" w:ascii="Times New Roman" w:hAnsi="Times New Roman"/>
          <w:sz w:val="22"/>
        </w:rPr>
        <w:t>In order to achieve the objectives of both OCLP and ENA, OCLP and ENA are interested in entering into a Definitive Agreement that would provide for the sale or redemption to OCLP of ENA’s CFI in OCLP. The key commercial terms of the proposed transaction are described below:</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OCLP Payment to ENA:</w:t>
        <w:tab/>
        <w:tab/>
        <w:tab/>
        <w:tab/>
        <w:t>$____________________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Upon the execution of a Definitive Agreement and ENA’s receipt of the above described OCLP payment, ENA shall permanently assign, pledge, or otherwise transfer, in a form acceptable to OCLP, all (100%) of ENA’s rights, entitlements, and interests in OCLP under the CFIA between ENA and OCLP dated June 30, 1998.</w:t>
      </w:r>
    </w:p>
    <w:p>
      <w:pPr>
        <w:pStyle w:val="Normal"/>
        <w:widowControl/>
        <w:ind w:end="-216"/>
        <w:rPr>
          <w:rFonts w:ascii="Times New Roman" w:hAnsi="Times New Roman" w:cs="Times New Roman"/>
          <w:sz w:val="22"/>
        </w:rPr>
      </w:pPr>
      <w:r>
        <w:rPr>
          <w:rFonts w:cs="Times New Roman" w:ascii="Times New Roman" w:hAnsi="Times New Roman"/>
          <w:sz w:val="22"/>
        </w:rPr>
      </w:r>
    </w:p>
    <w:p>
      <w:pPr>
        <w:pStyle w:val="Normal"/>
        <w:widowControl/>
        <w:tabs>
          <w:tab w:val="clear" w:pos="540"/>
          <w:tab w:val="left" w:pos="-1440" w:leader="none"/>
          <w:tab w:val="left" w:pos="0" w:leader="none"/>
        </w:tabs>
        <w:rPr>
          <w:rFonts w:ascii="Times New Roman" w:hAnsi="Times New Roman" w:cs="Times New Roman"/>
          <w:b/>
          <w:sz w:val="22"/>
          <w:u w:val="single"/>
        </w:rPr>
      </w:pPr>
      <w:r>
        <w:rPr>
          <w:rFonts w:cs="Times New Roman" w:ascii="Times New Roman" w:hAnsi="Times New Roman"/>
          <w:b/>
          <w:sz w:val="22"/>
          <w:u w:val="single"/>
        </w:rPr>
      </w:r>
    </w:p>
    <w:p>
      <w:pPr>
        <w:pStyle w:val="Normal"/>
        <w:widowControl/>
        <w:tabs>
          <w:tab w:val="clear" w:pos="540"/>
          <w:tab w:val="left" w:pos="-1440" w:leader="none"/>
          <w:tab w:val="left" w:pos="0" w:leader="none"/>
        </w:tabs>
        <w:rPr>
          <w:rFonts w:ascii="Times New Roman" w:hAnsi="Times New Roman" w:cs="Times New Roman"/>
          <w:b/>
          <w:sz w:val="22"/>
          <w:u w:val="single"/>
        </w:rPr>
      </w:pPr>
      <w:r>
        <w:rPr>
          <w:rFonts w:cs="Times New Roman" w:ascii="Times New Roman" w:hAnsi="Times New Roman"/>
          <w:b/>
          <w:sz w:val="22"/>
          <w:u w:val="single"/>
        </w:rPr>
      </w:r>
    </w:p>
    <w:p>
      <w:pPr>
        <w:pStyle w:val="Normal"/>
        <w:widowControl/>
        <w:rPr>
          <w:rFonts w:ascii="Times New Roman" w:hAnsi="Times New Roman" w:cs="Times New Roman"/>
          <w:caps/>
          <w:sz w:val="22"/>
        </w:rPr>
      </w:pPr>
      <w:r>
        <w:rPr>
          <w:rFonts w:cs="Times New Roman" w:ascii="Times New Roman" w:hAnsi="Times New Roman"/>
          <w:b/>
          <w:caps/>
          <w:sz w:val="22"/>
        </w:rPr>
        <w:t>Definitive Agreement</w:t>
      </w:r>
    </w:p>
    <w:p>
      <w:pPr>
        <w:pStyle w:val="Normal"/>
        <w:widowControl/>
        <w:rPr>
          <w:rFonts w:ascii="Times New Roman" w:hAnsi="Times New Roman" w:cs="Times New Roman"/>
          <w:sz w:val="22"/>
        </w:rPr>
      </w:pPr>
      <w:r>
        <w:rPr>
          <w:rFonts w:cs="Times New Roman" w:ascii="Times New Roman" w:hAnsi="Times New Roman"/>
          <w:sz w:val="22"/>
        </w:rPr>
        <w:t>The definitive agreements for this Proposed Transaction would contain appropriate provisions for a transaction of this type, including without limitation, provisions relating to representations and warranties, events of default, liquidated damages, credit terms, taxes, stranded costs and force majeure.  The Proposed Transaction does not include, and ENA would not be responsible for, or pay, any stranded costs or similar exit fees attributable to either the Proposed Transactions or the OCLP power generation facility.  In no event would either party be liable for consequential, incidental, punitive, exemplary or indirect damages.</w:t>
      </w:r>
    </w:p>
    <w:p>
      <w:pPr>
        <w:pStyle w:val="Normal"/>
        <w:widowControl/>
        <w:rPr>
          <w:rFonts w:ascii="Times New Roman" w:hAnsi="Times New Roman" w:cs="Times New Roman"/>
          <w:b/>
          <w:caps/>
          <w:sz w:val="22"/>
        </w:rPr>
      </w:pPr>
      <w:r>
        <w:rPr>
          <w:rFonts w:cs="Times New Roman" w:ascii="Times New Roman" w:hAnsi="Times New Roman"/>
          <w:b/>
          <w:caps/>
          <w:sz w:val="22"/>
        </w:rPr>
      </w:r>
    </w:p>
    <w:p>
      <w:pPr>
        <w:pStyle w:val="Normal"/>
        <w:widowControl/>
        <w:rPr>
          <w:rFonts w:ascii="Times New Roman" w:hAnsi="Times New Roman" w:cs="Times New Roman"/>
          <w:b/>
          <w:sz w:val="22"/>
        </w:rPr>
      </w:pPr>
      <w:r>
        <w:rPr>
          <w:rFonts w:cs="Times New Roman" w:ascii="Times New Roman" w:hAnsi="Times New Roman"/>
          <w:b/>
          <w:caps/>
          <w:sz w:val="22"/>
        </w:rPr>
        <w:t>Confidentiality</w:t>
      </w:r>
    </w:p>
    <w:p>
      <w:pPr>
        <w:pStyle w:val="Normal"/>
        <w:widowControl/>
        <w:rPr>
          <w:rFonts w:ascii="Times New Roman" w:hAnsi="Times New Roman" w:cs="Times New Roman"/>
          <w:sz w:val="22"/>
        </w:rPr>
      </w:pPr>
      <w:r>
        <w:rPr>
          <w:rFonts w:cs="Times New Roman" w:ascii="Times New Roman" w:hAnsi="Times New Roman"/>
          <w:sz w:val="22"/>
        </w:rPr>
        <w:t>The existence of this Proposal and all terms and conditions contained herein are confidential between ENA and OCLP and their duly appointed representatives and shall not be disclosed to any third parties.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i/>
          <w:i/>
          <w:sz w:val="22"/>
        </w:rPr>
      </w:pPr>
      <w:r>
        <w:rPr>
          <w:rFonts w:cs="Times New Roman" w:ascii="Times New Roman" w:hAnsi="Times New Roman"/>
          <w:i/>
          <w:sz w:val="22"/>
        </w:rPr>
      </w:r>
    </w:p>
    <w:p>
      <w:pPr>
        <w:pStyle w:val="Normal"/>
        <w:widowControl/>
        <w:rPr/>
      </w:pPr>
      <w:r>
        <w:rPr>
          <w:rFonts w:cs="Times New Roman" w:ascii="Times New Roman" w:hAnsi="Times New Roman"/>
          <w:i/>
          <w:sz w:val="22"/>
        </w:rPr>
        <w:t>This Term Sheet is for discussion purposes only to facilitate the negotiation, preparation, and execution of definitive agreements.   This Term Sheet is being furnished to OCLP pursuant to its request.  This Term Sheet is not intended to create a binding or enforceable contract or commitment and may not be relied upon by either party as a basis for a contract by estoppel or otherwise.  Consummation of any transaction is subject to, among other matters, the following conditions, (i) receipt of all necessary or advisable regulatory or other approvals or consents, (ii) approval by the respective Boards of Directors or other governing body of ENA and OCLP and if applicable, their affiliates, and (iii) negotiation,</w:t>
      </w:r>
      <w:r>
        <w:rPr>
          <w:i/>
          <w:sz w:val="22"/>
        </w:rPr>
        <w:t xml:space="preserve"> execution and delivery of definitive agreements.</w:t>
      </w:r>
    </w:p>
    <w:sectPr>
      <w:headerReference w:type="default" r:id="rId2"/>
      <w:footerReference w:type="default" r:id="rId3"/>
      <w:type w:val="nextPage"/>
      <w:pgSz w:w="12240" w:h="15840"/>
      <w:pgMar w:left="1296"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tabs>
        <w:tab w:val="clear" w:pos="8640"/>
        <w:tab w:val="left" w:pos="-1440" w:leader="none"/>
        <w:tab w:val="center" w:pos="4320" w:leader="none"/>
        <w:tab w:val="right" w:pos="9630" w:leader="none"/>
      </w:tabs>
      <w:jc w:val="center"/>
      <w:rPr>
        <w:b/>
        <w:i/>
        <w:i/>
        <w:sz w:val="20"/>
      </w:rPr>
    </w:pPr>
    <w:r>
      <w:rPr>
        <w:b/>
        <w:i/>
        <w:sz w:val="20"/>
      </w:rPr>
      <w:t>Confidential - For Discussion Purposes Only</w:t>
    </w:r>
  </w:p>
  <w:p>
    <w:pPr>
      <w:pStyle w:val="Footer"/>
      <w:widowControl/>
      <w:pBdr>
        <w:top w:val="single" w:sz="6" w:space="1" w:color="000000"/>
      </w:pBdr>
      <w:tabs>
        <w:tab w:val="clear" w:pos="4320"/>
        <w:tab w:val="clear" w:pos="8640"/>
        <w:tab w:val="left" w:pos="-1440" w:leader="none"/>
        <w:tab w:val="center" w:pos="4860" w:leader="none"/>
        <w:tab w:val="right" w:pos="9360" w:leader="none"/>
      </w:tabs>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Times"/>
        <w:i/>
        <w:sz w:val="16"/>
      </w:rPr>
      <w:t xml:space="preserve">  </w:t>
    </w:r>
    <w:r>
      <w:rPr>
        <w:i/>
        <w:sz w:val="16"/>
      </w:rPr>
      <w:tab/>
      <w:tab/>
      <w:t xml:space="preserve">Page </w:t>
    </w:r>
    <w:r>
      <w:rPr>
        <w:i/>
        <w:sz w:val="16"/>
      </w:rPr>
      <w:fldChar w:fldCharType="begin"/>
    </w:r>
    <w:r>
      <w:rPr>
        <w:sz w:val="16"/>
        <w:i/>
      </w:rPr>
      <w:instrText xml:space="preserve"> PAGE </w:instrText>
    </w:r>
    <w:r>
      <w:rPr>
        <w:sz w:val="16"/>
        <w:i/>
      </w:rPr>
      <w:fldChar w:fldCharType="separate"/>
    </w:r>
    <w:r>
      <w:rPr>
        <w:sz w:val="16"/>
        <w:i/>
      </w:rPr>
      <w:t>2</w:t>
    </w:r>
    <w:r>
      <w:rPr>
        <w:sz w:val="16"/>
        <w:i/>
      </w:rPr>
      <w:fldChar w:fldCharType="end"/>
    </w:r>
    <w:r>
      <w:rPr>
        <w:i/>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rFonts w:ascii="Times New Roman" w:hAnsi="Times New Roman" w:cs="Times New Roman"/>
        <w:b/>
      </w:rPr>
    </w:pPr>
    <w:r>
      <w:rPr>
        <w:rFonts w:cs="Times New Roman" w:ascii="Times New Roman" w:hAnsi="Times New Roman"/>
        <w:b/>
      </w:rPr>
      <w:t>ENRON NORTH AMERICA CORP.</w:t>
      <w:tab/>
    </w:r>
  </w:p>
  <w:p>
    <w:pPr>
      <w:pStyle w:val="Header"/>
      <w:widowControl/>
      <w:jc w:val="center"/>
      <w:rPr>
        <w:rFonts w:ascii="Times New Roman" w:hAnsi="Times New Roman" w:cs="Times New Roman"/>
        <w:i/>
        <w:i/>
      </w:rPr>
    </w:pPr>
    <w:r>
      <w:rPr>
        <w:rFonts w:cs="Times New Roman" w:ascii="Times New Roman" w:hAnsi="Times New Roman"/>
        <w:i/>
      </w:rPr>
      <w:t xml:space="preserve"> </w:t>
    </w:r>
    <w:r>
      <w:rPr>
        <w:rFonts w:cs="Times New Roman" w:ascii="Times New Roman" w:hAnsi="Times New Roman"/>
        <w:i/>
      </w:rPr>
      <w:t>Term Sheet to Onondaga Cogeneration Limited Partnership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1440" w:leader="none"/>
        <w:tab w:val="left" w:pos="540" w:leader="none"/>
      </w:tabs>
      <w:bidi w:val="0"/>
    </w:pPr>
    <w:rPr>
      <w:rFonts w:ascii="Times" w:hAnsi="Times" w:eastAsia="Times New Roman" w:cs="Times"/>
      <w:color w:val="auto"/>
      <w:sz w:val="24"/>
      <w:szCs w:val="20"/>
      <w:lang w:val="en-US" w:bidi="ar-SA" w:eastAsia="zh-CN"/>
    </w:rPr>
  </w:style>
  <w:style w:type="paragraph" w:styleId="Heading1">
    <w:name w:val="heading 1"/>
    <w:basedOn w:val="Normal"/>
    <w:next w:val="Normal"/>
    <w:qFormat/>
    <w:pPr>
      <w:numPr>
        <w:ilvl w:val="0"/>
        <w:numId w:val="1"/>
      </w:numPr>
      <w:tabs>
        <w:tab w:val="clear" w:pos="540"/>
        <w:tab w:val="left" w:pos="-1440" w:leader="none"/>
      </w:tabs>
      <w:spacing w:before="240" w:after="0"/>
      <w:outlineLvl w:val="0"/>
    </w:pPr>
    <w:rPr>
      <w:rFonts w:ascii="Arial" w:hAnsi="Arial" w:cs="Arial"/>
      <w:b/>
      <w:u w:val="single"/>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b/>
      <w:sz w:val="22"/>
      <w:u w:val="single"/>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widowControl/>
      <w:numPr>
        <w:ilvl w:val="3"/>
        <w:numId w:val="1"/>
      </w:numPr>
      <w:outlineLvl w:val="3"/>
    </w:pPr>
    <w:rPr>
      <w:b/>
    </w:rPr>
  </w:style>
  <w:style w:type="paragraph" w:styleId="Heading5">
    <w:name w:val="heading 5"/>
    <w:basedOn w:val="Normal"/>
    <w:next w:val="Normal"/>
    <w:qFormat/>
    <w:pPr>
      <w:keepNext w:val="true"/>
      <w:widowControl/>
      <w:numPr>
        <w:ilvl w:val="4"/>
        <w:numId w:val="1"/>
      </w:numPr>
      <w:tabs>
        <w:tab w:val="clear" w:pos="540"/>
        <w:tab w:val="left" w:pos="-1440" w:leader="none"/>
        <w:tab w:val="left" w:pos="0" w:leader="none"/>
      </w:tabs>
      <w:outlineLvl w:val="4"/>
    </w:pPr>
    <w:rPr>
      <w:rFonts w:ascii="Times New Roman" w:hAnsi="Times New Roman" w:cs="Times New Roman"/>
      <w:b/>
      <w:sz w:val="22"/>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4">
    <w:name w:val="toc 4"/>
    <w:basedOn w:val="Normal"/>
    <w:next w:val="Normal"/>
    <w:pPr>
      <w:tabs>
        <w:tab w:val="clear" w:pos="540"/>
        <w:tab w:val="left" w:pos="-1440" w:leader="none"/>
        <w:tab w:val="right" w:pos="9216" w:leader="dot"/>
      </w:tabs>
      <w:ind w:hanging="0" w:start="480" w:end="0"/>
    </w:pPr>
    <w:rPr>
      <w:rFonts w:ascii="Times New Roman" w:hAnsi="Times New Roman" w:cs="Times New Roman"/>
      <w:sz w:val="18"/>
    </w:rPr>
  </w:style>
  <w:style w:type="paragraph" w:styleId="HeaderandFooter">
    <w:name w:val="Header and Footer"/>
    <w:basedOn w:val="Normal"/>
    <w:qFormat/>
    <w:pPr>
      <w:suppressLineNumbers/>
      <w:tabs>
        <w:tab w:val="clear" w:pos="-1440"/>
        <w:tab w:val="clear" w:pos="540"/>
        <w:tab w:val="center" w:pos="4986" w:leader="none"/>
        <w:tab w:val="right" w:pos="9972" w:leader="none"/>
      </w:tabs>
    </w:pPr>
    <w:rPr/>
  </w:style>
  <w:style w:type="paragraph" w:styleId="Footer">
    <w:name w:val="footer"/>
    <w:basedOn w:val="Normal"/>
    <w:pPr>
      <w:tabs>
        <w:tab w:val="clear" w:pos="540"/>
        <w:tab w:val="left" w:pos="-1440" w:leader="none"/>
        <w:tab w:val="center" w:pos="4320" w:leader="none"/>
        <w:tab w:val="right" w:pos="8640" w:leader="none"/>
      </w:tabs>
    </w:pPr>
    <w:rPr/>
  </w:style>
  <w:style w:type="paragraph" w:styleId="Header">
    <w:name w:val="header"/>
    <w:basedOn w:val="Normal"/>
    <w:pPr>
      <w:tabs>
        <w:tab w:val="clear" w:pos="540"/>
        <w:tab w:val="left" w:pos="-1440" w:leader="none"/>
        <w:tab w:val="center" w:pos="4320" w:leader="none"/>
        <w:tab w:val="right" w:pos="8640" w:leader="none"/>
      </w:tabs>
    </w:pPr>
    <w:rPr/>
  </w:style>
  <w:style w:type="paragraph" w:styleId="To">
    <w:name w:val="To"/>
    <w:basedOn w:val="Normal"/>
    <w:qFormat/>
    <w:pPr>
      <w:tabs>
        <w:tab w:val="clear" w:pos="540"/>
        <w:tab w:val="left" w:pos="-1440" w:leader="none"/>
      </w:tabs>
    </w:pPr>
    <w:rPr>
      <w:rFonts w:ascii="Arial" w:hAnsi="Arial" w:cs="Arial"/>
      <w:sz w:val="36"/>
    </w:rPr>
  </w:style>
  <w:style w:type="paragraph" w:styleId="ToCompany">
    <w:name w:val="ToCompany"/>
    <w:basedOn w:val="Normal"/>
    <w:qFormat/>
    <w:pPr>
      <w:tabs>
        <w:tab w:val="clear" w:pos="540"/>
        <w:tab w:val="left" w:pos="-1440" w:leader="none"/>
      </w:tabs>
    </w:pPr>
    <w:rPr>
      <w:rFonts w:ascii="Arial" w:hAnsi="Arial" w:cs="Arial"/>
      <w:sz w:val="28"/>
    </w:rPr>
  </w:style>
  <w:style w:type="paragraph" w:styleId="ToFax">
    <w:name w:val="ToFax"/>
    <w:basedOn w:val="Normal"/>
    <w:qFormat/>
    <w:pPr>
      <w:tabs>
        <w:tab w:val="clear" w:pos="540"/>
        <w:tab w:val="left" w:pos="-1440" w:leader="none"/>
      </w:tabs>
    </w:pPr>
    <w:rPr>
      <w:rFonts w:ascii="Arial" w:hAnsi="Arial" w:cs="Arial"/>
      <w:sz w:val="28"/>
    </w:rPr>
  </w:style>
  <w:style w:type="paragraph" w:styleId="Date">
    <w:name w:val="Date"/>
    <w:basedOn w:val="Normal"/>
    <w:qFormat/>
    <w:pPr>
      <w:tabs>
        <w:tab w:val="clear" w:pos="540"/>
        <w:tab w:val="left" w:pos="-1440" w:leader="none"/>
      </w:tabs>
      <w:spacing w:before="360" w:after="0"/>
    </w:pPr>
    <w:rPr>
      <w:rFonts w:ascii="Arial" w:hAnsi="Arial" w:cs="Arial"/>
      <w:sz w:val="28"/>
    </w:rPr>
  </w:style>
  <w:style w:type="paragraph" w:styleId="Pages">
    <w:name w:val="Pages"/>
    <w:basedOn w:val="Normal"/>
    <w:qFormat/>
    <w:pPr>
      <w:tabs>
        <w:tab w:val="clear" w:pos="540"/>
        <w:tab w:val="left" w:pos="-1440" w:leader="none"/>
      </w:tabs>
    </w:pPr>
    <w:rPr>
      <w:rFonts w:ascii="Arial" w:hAnsi="Arial" w:cs="Arial"/>
      <w:sz w:val="28"/>
    </w:rPr>
  </w:style>
  <w:style w:type="paragraph" w:styleId="Comments">
    <w:name w:val="Comments"/>
    <w:basedOn w:val="Normal"/>
    <w:next w:val="Normal"/>
    <w:qFormat/>
    <w:pPr>
      <w:tabs>
        <w:tab w:val="clear" w:pos="540"/>
        <w:tab w:val="left" w:pos="-1440" w:leader="none"/>
      </w:tabs>
      <w:spacing w:before="240" w:after="120"/>
    </w:pPr>
    <w:rPr>
      <w:rFonts w:ascii="Arial" w:hAnsi="Arial" w:cs="Arial"/>
      <w:b/>
      <w:sz w:val="28"/>
    </w:rPr>
  </w:style>
  <w:style w:type="paragraph" w:styleId="ToPhone">
    <w:name w:val="ToPhone"/>
    <w:basedOn w:val="ToCompany"/>
    <w:qFormat/>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2001-02-12T12:16:00Z</dcterms:created>
  <dc:creator>ECT</dc:creator>
  <dc:description/>
  <dc:language>en-CA</dc:language>
  <cp:lastModifiedBy>Fred Mitro</cp:lastModifiedBy>
  <cp:lastPrinted>2001-02-12T08:38:00Z</cp:lastPrinted>
  <dcterms:modified xsi:type="dcterms:W3CDTF">2001-02-12T12:16:00Z</dcterms:modified>
  <cp:revision>2</cp:revision>
  <dc:subject/>
  <dc:title>ENRON CORP </dc:title>
</cp:coreProperties>
</file>