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jc w:val="both"/>
        <w:rPr>
          <w:b/>
          <w:spacing w:val="-2"/>
        </w:rPr>
      </w:pPr>
      <w:r>
        <w:rPr>
          <w:b/>
          <w:spacing w:val="-8"/>
          <w:sz w:val="64"/>
        </w:rPr>
        <w:t>ISDA</w:t>
      </w:r>
      <w:r>
        <w:rPr>
          <w:b/>
          <w:spacing w:val="-2"/>
        </w:rPr>
        <w:t xml:space="preserve"> International Swaps and Derivatives Association, Inc.</w:t>
      </w:r>
    </w:p>
    <w:p>
      <w:pPr>
        <w:pStyle w:val="Normal"/>
        <w:tabs>
          <w:tab w:val="clear" w:pos="720"/>
          <w:tab w:val="left" w:pos="0" w:leader="none"/>
        </w:tabs>
        <w:suppressAutoHyphens w:val="true"/>
        <w:jc w:val="both"/>
        <w:rPr>
          <w:b/>
          <w:spacing w:val="-2"/>
        </w:rPr>
      </w:pPr>
      <w:r>
        <w:rPr>
          <w:b/>
          <w:spacing w:val="-2"/>
        </w:rPr>
        <w:t>600 Fifth Avenue, 27th Floor</w:t>
      </w:r>
    </w:p>
    <w:p>
      <w:pPr>
        <w:pStyle w:val="Normal"/>
        <w:tabs>
          <w:tab w:val="clear" w:pos="720"/>
          <w:tab w:val="left" w:pos="0" w:leader="none"/>
        </w:tabs>
        <w:suppressAutoHyphens w:val="true"/>
        <w:jc w:val="both"/>
        <w:rPr>
          <w:b/>
          <w:spacing w:val="-2"/>
        </w:rPr>
      </w:pPr>
      <w:r>
        <w:rPr>
          <w:b/>
          <w:spacing w:val="-2"/>
        </w:rPr>
        <w:t>Rockefeller Center</w:t>
      </w:r>
    </w:p>
    <w:p>
      <w:pPr>
        <w:pStyle w:val="Normal"/>
        <w:tabs>
          <w:tab w:val="clear" w:pos="720"/>
          <w:tab w:val="left" w:pos="0" w:leader="none"/>
        </w:tabs>
        <w:suppressAutoHyphens w:val="true"/>
        <w:jc w:val="both"/>
        <w:rPr>
          <w:b/>
          <w:spacing w:val="-2"/>
        </w:rPr>
      </w:pPr>
      <w:r>
        <w:rPr>
          <w:b/>
          <w:spacing w:val="-2"/>
        </w:rPr>
        <w:t>New York, New York 10020-2302</w:t>
      </w:r>
    </w:p>
    <w:p>
      <w:pPr>
        <w:pStyle w:val="Normal"/>
        <w:tabs>
          <w:tab w:val="clear" w:pos="720"/>
          <w:tab w:val="left" w:pos="0" w:leader="none"/>
        </w:tabs>
        <w:suppressAutoHyphens w:val="true"/>
        <w:jc w:val="both"/>
        <w:rPr>
          <w:b/>
          <w:spacing w:val="-2"/>
        </w:rPr>
      </w:pPr>
      <w:r>
        <w:rPr>
          <w:b/>
          <w:spacing w:val="-2"/>
        </w:rPr>
        <w:t xml:space="preserve">Telephone: (212) 332-1200       Facsimile: (212) 332-1212 </w:t>
      </w:r>
    </w:p>
    <w:p>
      <w:pPr>
        <w:pStyle w:val="Normal"/>
        <w:rPr>
          <w:spacing w:val="-2"/>
          <w:sz w:val="22"/>
        </w:rPr>
      </w:pPr>
      <w:r>
        <w:rPr>
          <w:b/>
          <w:spacing w:val="-2"/>
        </w:rPr>
        <w:t>________________________________________________________</w:t>
      </w:r>
      <w:r>
        <w:rPr>
          <w:b/>
          <w:spacing w:val="-2"/>
          <w:sz w:val="22"/>
        </w:rPr>
        <w:t>_____________________________</w:t>
      </w:r>
    </w:p>
    <w:p>
      <w:pPr>
        <w:pStyle w:val="Normal"/>
        <w:tabs>
          <w:tab w:val="clear" w:pos="720"/>
          <w:tab w:val="left" w:pos="0" w:leader="none"/>
        </w:tabs>
        <w:suppressAutoHyphens w:val="true"/>
        <w:jc w:val="both"/>
        <w:rPr>
          <w:spacing w:val="-2"/>
          <w:sz w:val="22"/>
        </w:rPr>
      </w:pPr>
      <w:r>
        <w:rPr>
          <w:spacing w:val="-2"/>
          <w:sz w:val="22"/>
        </w:rPr>
      </w:r>
    </w:p>
    <w:p>
      <w:pPr>
        <w:pStyle w:val="Normal"/>
        <w:tabs>
          <w:tab w:val="clear" w:pos="720"/>
          <w:tab w:val="left" w:pos="0" w:leader="none"/>
        </w:tabs>
        <w:suppressAutoHyphens w:val="true"/>
        <w:jc w:val="both"/>
        <w:rPr>
          <w:spacing w:val="-2"/>
          <w:sz w:val="22"/>
        </w:rPr>
      </w:pPr>
      <w:r>
        <w:rPr>
          <w:spacing w:val="-2"/>
          <w:sz w:val="22"/>
        </w:rPr>
      </w:r>
    </w:p>
    <w:p>
      <w:pPr>
        <w:pStyle w:val="Normal"/>
        <w:tabs>
          <w:tab w:val="clear" w:pos="720"/>
          <w:tab w:val="center" w:pos="4680" w:leader="none"/>
        </w:tabs>
        <w:suppressAutoHyphens w:val="true"/>
        <w:jc w:val="both"/>
        <w:rPr>
          <w:spacing w:val="-3"/>
          <w:sz w:val="22"/>
        </w:rPr>
      </w:pPr>
      <w:r>
        <w:rPr>
          <w:b/>
          <w:spacing w:val="-3"/>
          <w:sz w:val="22"/>
        </w:rPr>
        <w:tab/>
        <w:t>M E M O R A N D U M</w:t>
      </w:r>
    </w:p>
    <w:p>
      <w:pPr>
        <w:pStyle w:val="Normal"/>
        <w:tabs>
          <w:tab w:val="clear" w:pos="720"/>
          <w:tab w:val="left" w:pos="0" w:leader="none"/>
        </w:tabs>
        <w:suppressAutoHyphens w:val="true"/>
        <w:jc w:val="both"/>
        <w:rPr>
          <w:spacing w:val="-3"/>
          <w:sz w:val="22"/>
        </w:rPr>
      </w:pPr>
      <w:r>
        <w:rPr>
          <w:spacing w:val="-3"/>
          <w:sz w:val="22"/>
        </w:rPr>
      </w:r>
    </w:p>
    <w:p>
      <w:pPr>
        <w:pStyle w:val="Normal"/>
        <w:tabs>
          <w:tab w:val="clear" w:pos="720"/>
          <w:tab w:val="left" w:pos="0" w:leader="none"/>
        </w:tabs>
        <w:suppressAutoHyphens w:val="true"/>
        <w:jc w:val="both"/>
        <w:rPr>
          <w:b/>
          <w:spacing w:val="-3"/>
          <w:sz w:val="22"/>
        </w:rPr>
      </w:pPr>
      <w:r>
        <w:rPr>
          <w:b/>
          <w:spacing w:val="-3"/>
          <w:sz w:val="22"/>
        </w:rPr>
        <w:tab/>
        <w:tab/>
        <w:tab/>
        <w:t>TO:</w:t>
        <w:tab/>
        <w:tab/>
        <w:t>Board of Directors</w:t>
      </w:r>
    </w:p>
    <w:p>
      <w:pPr>
        <w:pStyle w:val="Normal"/>
        <w:tabs>
          <w:tab w:val="clear" w:pos="720"/>
          <w:tab w:val="left" w:pos="0" w:leader="none"/>
        </w:tabs>
        <w:suppressAutoHyphens w:val="true"/>
        <w:jc w:val="both"/>
        <w:rPr>
          <w:b/>
          <w:spacing w:val="-3"/>
          <w:sz w:val="22"/>
        </w:rPr>
      </w:pPr>
      <w:r>
        <w:rPr>
          <w:b/>
          <w:spacing w:val="-3"/>
          <w:sz w:val="22"/>
        </w:rPr>
      </w:r>
    </w:p>
    <w:p>
      <w:pPr>
        <w:pStyle w:val="Normal"/>
        <w:tabs>
          <w:tab w:val="clear" w:pos="720"/>
          <w:tab w:val="left" w:pos="0" w:leader="none"/>
        </w:tabs>
        <w:suppressAutoHyphens w:val="true"/>
        <w:jc w:val="both"/>
        <w:rPr/>
      </w:pPr>
      <w:r>
        <w:rPr>
          <w:b/>
          <w:spacing w:val="-3"/>
          <w:sz w:val="22"/>
        </w:rPr>
        <w:tab/>
        <w:tab/>
        <w:tab/>
        <w:t>FROM:</w:t>
      </w:r>
      <w:r>
        <w:rPr>
          <w:spacing w:val="-3"/>
          <w:sz w:val="22"/>
        </w:rPr>
        <w:tab/>
        <w:t>Ruth Ainslie</w:t>
      </w:r>
    </w:p>
    <w:p>
      <w:pPr>
        <w:pStyle w:val="Normal"/>
        <w:tabs>
          <w:tab w:val="clear" w:pos="720"/>
          <w:tab w:val="left" w:pos="0" w:leader="none"/>
        </w:tabs>
        <w:suppressAutoHyphens w:val="true"/>
        <w:jc w:val="both"/>
        <w:rPr>
          <w:b/>
          <w:spacing w:val="-3"/>
          <w:sz w:val="22"/>
        </w:rPr>
      </w:pPr>
      <w:r>
        <w:rPr>
          <w:b/>
          <w:spacing w:val="-3"/>
          <w:sz w:val="22"/>
        </w:rPr>
      </w:r>
    </w:p>
    <w:p>
      <w:pPr>
        <w:pStyle w:val="Normal"/>
        <w:tabs>
          <w:tab w:val="clear" w:pos="720"/>
          <w:tab w:val="left" w:pos="0" w:leader="none"/>
        </w:tabs>
        <w:suppressAutoHyphens w:val="true"/>
        <w:jc w:val="both"/>
        <w:rPr/>
      </w:pPr>
      <w:r>
        <w:rPr>
          <w:b/>
          <w:spacing w:val="-3"/>
          <w:sz w:val="22"/>
        </w:rPr>
        <w:tab/>
        <w:tab/>
        <w:tab/>
        <w:t>DATE:</w:t>
      </w:r>
      <w:r>
        <w:rPr>
          <w:spacing w:val="-3"/>
          <w:sz w:val="22"/>
        </w:rPr>
        <w:tab/>
        <w:tab/>
        <w:t>August 29, 2000</w:t>
      </w:r>
    </w:p>
    <w:p>
      <w:pPr>
        <w:pStyle w:val="Normal"/>
        <w:tabs>
          <w:tab w:val="clear" w:pos="720"/>
          <w:tab w:val="left" w:pos="0" w:leader="none"/>
        </w:tabs>
        <w:suppressAutoHyphens w:val="true"/>
        <w:jc w:val="both"/>
        <w:rPr>
          <w:spacing w:val="-3"/>
          <w:sz w:val="22"/>
        </w:rPr>
      </w:pPr>
      <w:r>
        <w:rPr>
          <w:spacing w:val="-3"/>
          <w:sz w:val="22"/>
        </w:rPr>
      </w:r>
    </w:p>
    <w:p>
      <w:pPr>
        <w:pStyle w:val="Heading9"/>
        <w:ind w:hanging="1440" w:start="3600" w:end="0"/>
        <w:rPr/>
      </w:pPr>
      <w:r>
        <w:rPr>
          <w:b w:val="false"/>
          <w:spacing w:val="-3"/>
        </w:rPr>
        <w:t>RE:</w:t>
      </w:r>
      <w:r>
        <w:rPr>
          <w:spacing w:val="-3"/>
        </w:rPr>
        <w:tab/>
      </w:r>
      <w:r>
        <w:rPr/>
        <w:t>OPERATIONS BENCHMARKING SURVEY</w:t>
      </w:r>
    </w:p>
    <w:p>
      <w:pPr>
        <w:pStyle w:val="Normal"/>
        <w:rPr/>
      </w:pPr>
      <w:r>
        <w:rPr>
          <w:sz w:val="22"/>
          <w:lang w:eastAsia="en-US"/>
        </w:rPr>
        <w:t xml:space="preserve"> </w:t>
      </w:r>
      <w:r>
        <w:rPr>
          <w:b/>
          <w:sz w:val="22"/>
          <w:lang w:eastAsia="en-US"/>
        </w:rPr>
        <w:t xml:space="preserve"> </w:t>
      </w:r>
    </w:p>
    <w:p>
      <w:pPr>
        <w:pStyle w:val="Normal"/>
        <w:ind w:hanging="1440" w:start="3600" w:end="0"/>
        <w:rPr>
          <w:b/>
          <w:spacing w:val="-3"/>
          <w:sz w:val="22"/>
          <w:lang w:eastAsia="en-US"/>
        </w:rPr>
      </w:pPr>
      <w:r>
        <w:rPr>
          <w:b/>
          <w:spacing w:val="-3"/>
          <w:sz w:val="22"/>
          <w:lang w:eastAsia="en-US"/>
        </w:rPr>
      </w:r>
    </w:p>
    <w:p>
      <w:pPr>
        <w:pStyle w:val="Normal"/>
        <w:rPr>
          <w:b/>
          <w:spacing w:val="-3"/>
          <w:sz w:val="22"/>
        </w:rPr>
      </w:pPr>
      <w:r>
        <w:rPr>
          <w:b/>
          <w:spacing w:val="-3"/>
          <w:sz w:val="22"/>
        </w:rPr>
        <w:t>________________________________________________________________________________</w:t>
      </w:r>
    </w:p>
    <w:p>
      <w:pPr>
        <w:pStyle w:val="BodyText"/>
        <w:rPr>
          <w:b/>
          <w:spacing w:val="-3"/>
          <w:sz w:val="22"/>
        </w:rPr>
      </w:pPr>
      <w:r>
        <w:rPr>
          <w:b/>
          <w:spacing w:val="-3"/>
          <w:sz w:val="22"/>
        </w:rPr>
      </w:r>
    </w:p>
    <w:p>
      <w:pPr>
        <w:pStyle w:val="BodyText"/>
        <w:rPr>
          <w:b/>
        </w:rPr>
      </w:pPr>
      <w:r>
        <w:rPr>
          <w:b/>
        </w:rPr>
        <w:t>BACKGROUND</w:t>
      </w:r>
    </w:p>
    <w:p>
      <w:pPr>
        <w:pStyle w:val="BodyText"/>
        <w:rPr>
          <w:b/>
        </w:rPr>
      </w:pPr>
      <w:r>
        <w:rPr>
          <w:b/>
        </w:rPr>
      </w:r>
    </w:p>
    <w:p>
      <w:pPr>
        <w:pStyle w:val="BodyText"/>
        <w:rPr/>
      </w:pPr>
      <w:r>
        <w:rPr/>
        <w:t xml:space="preserve">The ISDA Operations Benchmarking Survey is a response to ISDA's Operations Committee discussions beginning in late 1998 of the increasing usefulness of an industry-sponsored operations benchmarking survey.   The committee recognized of two concerns resulting from the unavailability of any external effective market benchmarks for derivatives operations:  </w:t>
      </w:r>
    </w:p>
    <w:p>
      <w:pPr>
        <w:pStyle w:val="Normal"/>
        <w:ind w:start="720" w:end="0"/>
        <w:rPr>
          <w:sz w:val="22"/>
          <w:lang w:eastAsia="en-US"/>
        </w:rPr>
      </w:pPr>
      <w:r>
        <w:rPr>
          <w:sz w:val="22"/>
          <w:lang w:eastAsia="en-US"/>
        </w:rPr>
      </w:r>
    </w:p>
    <w:p>
      <w:pPr>
        <w:pStyle w:val="Normal"/>
        <w:numPr>
          <w:ilvl w:val="0"/>
          <w:numId w:val="2"/>
        </w:numPr>
        <w:rPr>
          <w:sz w:val="22"/>
          <w:lang w:eastAsia="en-US"/>
        </w:rPr>
      </w:pPr>
      <w:r>
        <w:rPr>
          <w:sz w:val="22"/>
          <w:lang w:eastAsia="en-US"/>
        </w:rPr>
        <w:t>Derivatives operations managers are not able to measure their internal performance standards against the industry and to develop effective internal strategies.</w:t>
      </w:r>
    </w:p>
    <w:p>
      <w:pPr>
        <w:pStyle w:val="Normal"/>
        <w:rPr>
          <w:sz w:val="22"/>
          <w:lang w:eastAsia="en-US"/>
        </w:rPr>
      </w:pPr>
      <w:r>
        <w:rPr>
          <w:sz w:val="22"/>
          <w:lang w:eastAsia="en-US"/>
        </w:rPr>
      </w:r>
    </w:p>
    <w:p>
      <w:pPr>
        <w:pStyle w:val="Normal"/>
        <w:numPr>
          <w:ilvl w:val="0"/>
          <w:numId w:val="2"/>
        </w:numPr>
        <w:rPr>
          <w:sz w:val="22"/>
          <w:lang w:eastAsia="en-US"/>
        </w:rPr>
      </w:pPr>
      <w:r>
        <w:rPr>
          <w:sz w:val="22"/>
          <w:lang w:eastAsia="en-US"/>
        </w:rPr>
        <w:t>The industry requires reliable performance indicators within the derivatives operations context for three related purposes:</w:t>
      </w:r>
    </w:p>
    <w:p>
      <w:pPr>
        <w:pStyle w:val="Normal"/>
        <w:numPr>
          <w:ilvl w:val="0"/>
          <w:numId w:val="3"/>
        </w:numPr>
        <w:tabs>
          <w:tab w:val="left" w:pos="720" w:leader="none"/>
        </w:tabs>
        <w:ind w:hanging="360" w:start="720" w:end="0"/>
        <w:rPr>
          <w:sz w:val="22"/>
          <w:lang w:eastAsia="en-US"/>
        </w:rPr>
      </w:pPr>
      <w:r>
        <w:rPr>
          <w:sz w:val="22"/>
          <w:lang w:eastAsia="en-US"/>
        </w:rPr>
        <w:t xml:space="preserve">to promote processing efficiencies within/between firms; </w:t>
      </w:r>
    </w:p>
    <w:p>
      <w:pPr>
        <w:pStyle w:val="Normal"/>
        <w:numPr>
          <w:ilvl w:val="0"/>
          <w:numId w:val="3"/>
        </w:numPr>
        <w:tabs>
          <w:tab w:val="left" w:pos="720" w:leader="none"/>
        </w:tabs>
        <w:ind w:hanging="360" w:start="720" w:end="0"/>
        <w:rPr>
          <w:sz w:val="22"/>
          <w:lang w:eastAsia="en-US"/>
        </w:rPr>
      </w:pPr>
      <w:r>
        <w:rPr>
          <w:sz w:val="22"/>
          <w:lang w:eastAsia="en-US"/>
        </w:rPr>
        <w:t xml:space="preserve">to respond to the increasing recognition of Operational Risk factors; and </w:t>
      </w:r>
    </w:p>
    <w:p>
      <w:pPr>
        <w:pStyle w:val="Normal"/>
        <w:numPr>
          <w:ilvl w:val="0"/>
          <w:numId w:val="3"/>
        </w:numPr>
        <w:tabs>
          <w:tab w:val="left" w:pos="720" w:leader="none"/>
        </w:tabs>
        <w:ind w:hanging="360" w:start="720" w:end="0"/>
        <w:rPr>
          <w:sz w:val="22"/>
          <w:lang w:eastAsia="en-US"/>
        </w:rPr>
      </w:pPr>
      <w:r>
        <w:rPr>
          <w:sz w:val="22"/>
          <w:lang w:eastAsia="en-US"/>
        </w:rPr>
        <w:t>to develop substantiated market guidelines and data integral to interaction with regulators (and the resulting potential assessment of individual firm standards).</w:t>
      </w:r>
    </w:p>
    <w:p>
      <w:pPr>
        <w:pStyle w:val="Normal"/>
        <w:rPr>
          <w:sz w:val="22"/>
          <w:lang w:eastAsia="en-US"/>
        </w:rPr>
      </w:pPr>
      <w:r>
        <w:rPr>
          <w:sz w:val="22"/>
          <w:lang w:eastAsia="en-US"/>
        </w:rPr>
      </w:r>
    </w:p>
    <w:p>
      <w:pPr>
        <w:pStyle w:val="Normal"/>
        <w:rPr>
          <w:sz w:val="22"/>
        </w:rPr>
      </w:pPr>
      <w:r>
        <w:rPr>
          <w:sz w:val="22"/>
        </w:rPr>
        <w:t>The ISDA Operations Benchmarking Survey questionnaire was distributed in January 2000, and Lombard-Risk was engaged in late spring as independent consultant to work with the seven-institution Operations Advisory Committee, which has provided focus and intensive oversight of the process.  Bob Pickel has overseen review from a legal perspective and Louise Marshall has overseen review from a trading practices perspective.</w:t>
      </w:r>
      <w:r>
        <w:br w:type="page"/>
      </w:r>
    </w:p>
    <w:p>
      <w:pPr>
        <w:pStyle w:val="Normal"/>
        <w:rPr>
          <w:b/>
          <w:sz w:val="22"/>
        </w:rPr>
      </w:pPr>
      <w:r>
        <w:rPr>
          <w:b/>
          <w:sz w:val="22"/>
        </w:rPr>
      </w:r>
    </w:p>
    <w:p>
      <w:pPr>
        <w:pStyle w:val="BodyTextIndent2"/>
        <w:ind w:start="0" w:end="0"/>
        <w:rPr>
          <w:b/>
        </w:rPr>
      </w:pPr>
      <w:r>
        <w:rPr>
          <w:b/>
        </w:rPr>
        <w:t>CURRENT STATUS</w:t>
      </w:r>
    </w:p>
    <w:p>
      <w:pPr>
        <w:pStyle w:val="Normal"/>
        <w:rPr>
          <w:b/>
          <w:sz w:val="22"/>
        </w:rPr>
      </w:pPr>
      <w:r>
        <w:rPr>
          <w:b/>
          <w:sz w:val="22"/>
        </w:rPr>
      </w:r>
    </w:p>
    <w:p>
      <w:pPr>
        <w:pStyle w:val="Normal"/>
        <w:rPr>
          <w:sz w:val="22"/>
        </w:rPr>
      </w:pPr>
      <w:r>
        <w:rPr>
          <w:sz w:val="22"/>
        </w:rPr>
        <w:t>Publication of the first ISDA Operations Benchmarking Survey is scheduled for early fall 2000. Limited copies of the ISDA Operations Benchmarking Survey will be published in print form, and thereafter will be available electronically on the ISDA website.   An in-depth discussion of the first ISDA Operations Benchmarking Survey is part of the current member updates.</w:t>
      </w:r>
    </w:p>
    <w:p>
      <w:pPr>
        <w:pStyle w:val="Normal"/>
        <w:rPr>
          <w:sz w:val="22"/>
        </w:rPr>
      </w:pPr>
      <w:r>
        <w:rPr>
          <w:sz w:val="22"/>
        </w:rPr>
      </w:r>
    </w:p>
    <w:p>
      <w:pPr>
        <w:pStyle w:val="Normal"/>
        <w:rPr>
          <w:sz w:val="22"/>
        </w:rPr>
      </w:pPr>
      <w:r>
        <w:rPr>
          <w:sz w:val="22"/>
        </w:rPr>
        <w:t xml:space="preserve">Approximately 40 responding institutions, representing firms of different sizes and across all regions, are included within the survey.  As the initial survey of this type, the Operations Advisory Committee and the independent consultant have recommended that the survey be limited to data reporting rather than providing conclusions or inferences and that the results focus on interest rate derivatives products rather than complex or exotic products. The goal became to identify main areas of interest, including confirmations, unsent and unsigned and the need for more standardized language in the industry.   </w:t>
      </w:r>
    </w:p>
    <w:p>
      <w:pPr>
        <w:pStyle w:val="Normal"/>
        <w:rPr>
          <w:sz w:val="22"/>
        </w:rPr>
      </w:pPr>
      <w:r>
        <w:rPr>
          <w:sz w:val="22"/>
        </w:rPr>
      </w:r>
    </w:p>
    <w:p>
      <w:pPr>
        <w:pStyle w:val="Normal"/>
        <w:rPr>
          <w:b/>
          <w:sz w:val="22"/>
        </w:rPr>
      </w:pPr>
      <w:r>
        <w:rPr>
          <w:b/>
          <w:sz w:val="22"/>
        </w:rPr>
        <w:t>PROPOSED PLAN</w:t>
      </w:r>
    </w:p>
    <w:p>
      <w:pPr>
        <w:pStyle w:val="Normal"/>
        <w:rPr>
          <w:b/>
          <w:sz w:val="22"/>
        </w:rPr>
      </w:pPr>
      <w:r>
        <w:rPr>
          <w:b/>
          <w:sz w:val="22"/>
        </w:rPr>
      </w:r>
    </w:p>
    <w:p>
      <w:pPr>
        <w:pStyle w:val="Normal"/>
        <w:rPr>
          <w:b/>
          <w:sz w:val="22"/>
        </w:rPr>
      </w:pPr>
      <w:r>
        <w:rPr>
          <w:sz w:val="22"/>
        </w:rPr>
        <w:t xml:space="preserve">It is proposed that the survey becomes an annual ISDA publication.  </w:t>
      </w:r>
      <w:r>
        <w:rPr>
          <w:b/>
          <w:sz w:val="22"/>
        </w:rPr>
        <w:t>T</w:t>
      </w:r>
      <w:r>
        <w:rPr>
          <w:sz w:val="22"/>
        </w:rPr>
        <w:t>he Operations Advisory Committee is well aware that this survey is a "first", and clearly the survey process will need to evolve in terms of content and format in order that the resulting analysis of the data provide accurate benchmark data in the operations area.  Over time, the annual survey should be an effective tool to enable operations managers to draw conclusions regarding operations departments and to suggest how departments may more efficiently perform their functions and also to address developing industry needs.  The initial survey will contain explanations of the proposed development and provide indications of the scope and focus of the 2001 ISDA Operations Benchmarking Survey. The 2001 questionnaire should be distributed in November 2000 and have an early 2001 return date.</w:t>
      </w:r>
    </w:p>
    <w:p>
      <w:pPr>
        <w:pStyle w:val="Normal"/>
        <w:rPr>
          <w:b/>
          <w:sz w:val="22"/>
        </w:rPr>
      </w:pPr>
      <w:r>
        <w:rPr>
          <w:b/>
          <w:sz w:val="22"/>
        </w:rPr>
      </w:r>
    </w:p>
    <w:p>
      <w:pPr>
        <w:pStyle w:val="Normal"/>
        <w:rPr>
          <w:b/>
          <w:sz w:val="22"/>
        </w:rPr>
      </w:pPr>
      <w:r>
        <w:rPr>
          <w:b/>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b/>
      <w:spacing w:val="-3"/>
      <w:sz w:val="24"/>
    </w:rPr>
  </w:style>
  <w:style w:type="paragraph" w:styleId="Heading4">
    <w:name w:val="heading 4"/>
    <w:basedOn w:val="Normal"/>
    <w:next w:val="Normal"/>
    <w:qFormat/>
    <w:pPr>
      <w:keepNext w:val="true"/>
      <w:numPr>
        <w:ilvl w:val="3"/>
        <w:numId w:val="1"/>
      </w:numPr>
      <w:jc w:val="center"/>
      <w:outlineLvl w:val="3"/>
    </w:pPr>
    <w:rPr>
      <w:b/>
      <w:sz w:val="22"/>
      <w:lang w:val="en-GB" w:eastAsia="en-US"/>
    </w:rPr>
  </w:style>
  <w:style w:type="paragraph" w:styleId="Heading5">
    <w:name w:val="heading 5"/>
    <w:basedOn w:val="Normal"/>
    <w:next w:val="Normal"/>
    <w:qFormat/>
    <w:pPr>
      <w:keepNext w:val="true"/>
      <w:numPr>
        <w:ilvl w:val="4"/>
        <w:numId w:val="1"/>
      </w:numPr>
      <w:jc w:val="center"/>
      <w:outlineLvl w:val="4"/>
    </w:pPr>
    <w:rPr>
      <w:i/>
      <w:sz w:val="22"/>
      <w:lang w:val="en-GB" w:eastAsia="en-US"/>
    </w:rPr>
  </w:style>
  <w:style w:type="paragraph" w:styleId="Heading9">
    <w:name w:val="heading 9"/>
    <w:basedOn w:val="Normal"/>
    <w:next w:val="Normal"/>
    <w:qFormat/>
    <w:pPr>
      <w:keepNext w:val="true"/>
      <w:numPr>
        <w:ilvl w:val="8"/>
        <w:numId w:val="1"/>
      </w:numPr>
      <w:outlineLvl w:val="8"/>
    </w:pPr>
    <w:rPr>
      <w:b/>
      <w:sz w:val="22"/>
      <w:lang w:val="en-GB" w:eastAsia="en-US"/>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lang w:val="en-GB"/>
    </w:rPr>
  </w:style>
  <w:style w:type="paragraph" w:styleId="BodyTextIndent">
    <w:name w:val="Body Text Indent"/>
    <w:basedOn w:val="Normal"/>
    <w:pPr>
      <w:ind w:hanging="0" w:start="1140" w:end="0"/>
    </w:pPr>
    <w:rPr>
      <w:sz w:val="24"/>
    </w:rPr>
  </w:style>
  <w:style w:type="paragraph" w:styleId="BodyTextIndent2">
    <w:name w:val="Body Text Indent 2"/>
    <w:basedOn w:val="Normal"/>
    <w:qFormat/>
    <w:pPr>
      <w:ind w:hanging="0" w:start="108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2000-09-05T11:39:00Z</dcterms:created>
  <dc:creator>Ruth Ainsley</dc:creator>
  <dc:description/>
  <dc:language>en-CA</dc:language>
  <cp:lastModifiedBy>Corrinne Greasley</cp:lastModifiedBy>
  <dcterms:modified xsi:type="dcterms:W3CDTF">2000-09-05T11:39:00Z</dcterms:modified>
  <cp:revision>2</cp:revision>
  <dc:subject/>
  <dc:title>INTERNATIONAL SWAPS AND DERIVATIVES ASSOCIATION</dc:title>
</cp:coreProperties>
</file>