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jc w:val="both"/>
        <w:rPr/>
      </w:pPr>
      <w:r>
        <w:rPr/>
        <w:t>STRICTLY PRIVATE &amp; CONFIDENTIAL</w:t>
      </w:r>
    </w:p>
    <w:p>
      <w:pPr>
        <w:pStyle w:val="Normal"/>
        <w:jc w:val="both"/>
        <w:rPr/>
      </w:pPr>
      <w:r>
        <w:rPr/>
        <w:t>The New ork Mercantile Exchange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18 May 2001</w:t>
      </w:r>
    </w:p>
    <w:p>
      <w:pPr>
        <w:pStyle w:val="Normal"/>
        <w:jc w:val="both"/>
        <w:rPr/>
      </w:pPr>
      <w:r>
        <w:rPr/>
      </w:r>
    </w:p>
    <w:p>
      <w:pPr>
        <w:pStyle w:val="Normal"/>
        <w:jc w:val="both"/>
        <w:rPr/>
      </w:pPr>
      <w:r>
        <w:rPr/>
      </w:r>
    </w:p>
    <w:p>
      <w:pPr>
        <w:pStyle w:val="Normal"/>
        <w:jc w:val="both"/>
        <w:rPr/>
      </w:pPr>
      <w:r>
        <w:rPr/>
      </w:r>
    </w:p>
    <w:p>
      <w:pPr>
        <w:pStyle w:val="Normal"/>
        <w:jc w:val="both"/>
        <w:rPr/>
      </w:pPr>
      <w:r>
        <w:rPr/>
        <w:t>Dear [</w:t>
        <w:tab/>
        <w:tab/>
        <w:t>]</w:t>
      </w:r>
    </w:p>
    <w:p>
      <w:pPr>
        <w:pStyle w:val="Normal"/>
        <w:jc w:val="both"/>
        <w:rPr/>
      </w:pPr>
      <w:r>
        <w:rPr/>
      </w:r>
    </w:p>
    <w:p>
      <w:pPr>
        <w:pStyle w:val="Heading1"/>
        <w:ind w:hanging="0" w:start="0"/>
        <w:jc w:val="both"/>
        <w:rPr/>
      </w:pPr>
      <w:r>
        <w:rPr/>
        <w:t>Letter of Intent</w:t>
      </w:r>
    </w:p>
    <w:p>
      <w:pPr>
        <w:pStyle w:val="Normal"/>
        <w:jc w:val="both"/>
        <w:rPr/>
      </w:pPr>
      <w:r>
        <w:rPr/>
      </w:r>
    </w:p>
    <w:p>
      <w:pPr>
        <w:pStyle w:val="Normal"/>
        <w:jc w:val="both"/>
        <w:rPr/>
      </w:pPr>
      <w:r>
        <w:rPr/>
        <w:t>Following our recent discussions, I wish to set out our understanding of a proposal to enter into an agreement with the NewYork Mercantile Exchange (NYMEX”) whereby Enron Trade Services Inc. (“ETSI”) becomes a market maker in the NYMEX Aluminum Contract (“the Proposal”).</w:t>
      </w:r>
    </w:p>
    <w:p>
      <w:pPr>
        <w:pStyle w:val="Normal"/>
        <w:jc w:val="both"/>
        <w:rPr/>
      </w:pPr>
      <w:r>
        <w:rPr/>
      </w:r>
    </w:p>
    <w:p>
      <w:pPr>
        <w:pStyle w:val="Heading1"/>
        <w:ind w:hanging="0" w:start="0"/>
        <w:jc w:val="both"/>
        <w:rPr/>
      </w:pPr>
      <w:r>
        <w:rPr/>
        <w:t>Commitment to Negotiate</w:t>
      </w:r>
    </w:p>
    <w:p>
      <w:pPr>
        <w:pStyle w:val="Normal"/>
        <w:jc w:val="both"/>
        <w:rPr/>
      </w:pPr>
      <w:r>
        <w:rPr/>
      </w:r>
    </w:p>
    <w:p>
      <w:pPr>
        <w:pStyle w:val="Normal"/>
        <w:jc w:val="both"/>
        <w:rPr/>
      </w:pPr>
      <w:r>
        <w:rPr/>
        <w:t>By signing this letter you commit NYMEX to enter into negotiations in good faith in respect of the Proposal.  NYMEX would bear its own costs in relation to those negotiations, but will not be responsible for any costs incurred by ETSI.</w:t>
      </w:r>
    </w:p>
    <w:p>
      <w:pPr>
        <w:pStyle w:val="Normal"/>
        <w:jc w:val="both"/>
        <w:rPr/>
      </w:pPr>
      <w:r>
        <w:rPr/>
      </w:r>
    </w:p>
    <w:p>
      <w:pPr>
        <w:pStyle w:val="Heading1"/>
        <w:ind w:hanging="0" w:start="0"/>
        <w:jc w:val="both"/>
        <w:rPr/>
      </w:pPr>
      <w:r>
        <w:rPr/>
        <w:t>Nature of the Proposal</w:t>
      </w:r>
    </w:p>
    <w:p>
      <w:pPr>
        <w:pStyle w:val="Normal"/>
        <w:jc w:val="both"/>
        <w:rPr/>
      </w:pPr>
      <w:r>
        <w:rPr/>
      </w:r>
    </w:p>
    <w:p>
      <w:pPr>
        <w:pStyle w:val="Normal"/>
        <w:jc w:val="both"/>
        <w:rPr/>
      </w:pPr>
      <w:r>
        <w:rPr/>
        <w:t>The aim of the proposal is for ETSI to provide a market making service in respect of the NYMEX Aluminum Contract via the Enron Group’s electronic trading facility, EnronOnline (“EOL”) and via such other media as ETSI may determine.  As a market maker in the NYMEX Aluminum Contract, ETSI would be required to be prepared at all times to trade a minimum of 20 lots.  The nature of the NYMEX Aluminum Contract to be offered by ETSI would be such as to allow ETSI to trade on a principal to principal basis with any other party (subject to legal and regulatory requirements) pursuant to such contractual terms as ETSI and the other party may agree.  Where the party with which ETSI wishes to trade is not a clearing member of NYMEX, (a “Non-Member Counterparty”) ETSI and the non-member counterparty may enter into an arrangement with a third party who shall be a clearing member of NYMEX whereby ETSI may allocate or give up the trade to that third party NYMEX clearing member. Where the party with which ETSI wishes to trade is a NYMEX clearing member trading on behalf of an underlying customer, ETSI will be entitled to know the identity of that underlying customer.  As a condition of agreeing to become a market maker in the NYMEX Aluminum Contract, NYMEX will approve warehouses operated by the Henry Bath group of companies to store metal deliverable under NYMEX Contracts.</w:t>
      </w:r>
    </w:p>
    <w:p>
      <w:pPr>
        <w:pStyle w:val="Normal"/>
        <w:jc w:val="both"/>
        <w:rPr/>
      </w:pPr>
      <w:r>
        <w:rPr/>
      </w:r>
    </w:p>
    <w:p>
      <w:pPr>
        <w:pStyle w:val="Heading1"/>
        <w:ind w:hanging="0" w:start="0"/>
        <w:jc w:val="both"/>
        <w:rPr/>
      </w:pPr>
      <w:r>
        <w:rPr/>
        <w:t>Exclusive Negotiation</w:t>
      </w:r>
    </w:p>
    <w:p>
      <w:pPr>
        <w:pStyle w:val="Normal"/>
        <w:jc w:val="both"/>
        <w:rPr/>
      </w:pPr>
      <w:r>
        <w:rPr/>
      </w:r>
    </w:p>
    <w:p>
      <w:pPr>
        <w:pStyle w:val="Normal"/>
        <w:jc w:val="both"/>
        <w:rPr/>
      </w:pPr>
      <w:r>
        <w:rPr/>
        <w:t>In consideration of ETSI incurring the time and expense necessary to enable it to provide a market making service in accordance with the terms of the Proposal, you agree that NYMEX will negotiate exclusively with ETSI or any affiliate that they designate in relation to the proposal for a period of [</w:t>
        <w:tab/>
        <w:t>] days from the date of your signing and returning this letter and will not during that period negotiate with any other company, consortium or similar venture in relation to any other projects or proposals similar to the Proposal.</w:t>
      </w:r>
    </w:p>
    <w:p>
      <w:pPr>
        <w:pStyle w:val="Normal"/>
        <w:jc w:val="both"/>
        <w:rPr/>
      </w:pPr>
      <w:r>
        <w:rPr/>
      </w:r>
    </w:p>
    <w:p>
      <w:pPr>
        <w:pStyle w:val="Heading1"/>
        <w:ind w:hanging="0" w:start="0"/>
        <w:jc w:val="both"/>
        <w:rPr/>
      </w:pPr>
      <w:r>
        <w:rPr/>
        <w:t>Confidentiality</w:t>
      </w:r>
    </w:p>
    <w:p>
      <w:pPr>
        <w:pStyle w:val="Normal"/>
        <w:jc w:val="both"/>
        <w:rPr/>
      </w:pPr>
      <w:r>
        <w:rPr/>
      </w:r>
    </w:p>
    <w:p>
      <w:pPr>
        <w:pStyle w:val="Normal"/>
        <w:jc w:val="both"/>
        <w:rPr/>
      </w:pPr>
      <w:r>
        <w:rPr/>
        <w:t xml:space="preserve">You agree to keep secret and confidential the terms of this letter and all other matters relating to the Proposal (including, without limitation, all information relating to the existence of the Proposal, and will not disclose any such information to a third party except (1) as required by law, any court of competent jurisdiction or the rules and regulations of any regulatory body, (2) with the consent of ETSI, (3) to NYMEX’s professional advisors on a confidential basis, or (4) unless such information becomes public or is disclosed to a third party otherwise than through a breach of this undertaking. </w:t>
      </w:r>
    </w:p>
    <w:p>
      <w:pPr>
        <w:pStyle w:val="Normal"/>
        <w:jc w:val="both"/>
        <w:rPr/>
      </w:pPr>
      <w:r>
        <w:rPr/>
      </w:r>
    </w:p>
    <w:p>
      <w:pPr>
        <w:pStyle w:val="Heading1"/>
        <w:ind w:hanging="0" w:start="0"/>
        <w:jc w:val="both"/>
        <w:rPr/>
      </w:pPr>
      <w:r>
        <w:rPr/>
        <w:t>The Nature of this Letter</w:t>
      </w:r>
    </w:p>
    <w:p>
      <w:pPr>
        <w:pStyle w:val="Normal"/>
        <w:jc w:val="both"/>
        <w:rPr/>
      </w:pPr>
      <w:r>
        <w:rPr/>
      </w:r>
    </w:p>
    <w:p>
      <w:pPr>
        <w:pStyle w:val="Normal"/>
        <w:jc w:val="both"/>
        <w:rPr/>
      </w:pPr>
      <w:r>
        <w:rPr/>
        <w:t>The paragraphs entitled “Exclusive Negotiation” and “Confidentiality” are intended to have immediate legal effect and will continue to have such legal effect until otherwise agreed.  In all other respects, the provisions of this letter are not legally binding nor do they create any legal relationship between ETSI and NYMEX but are intended to set out the basis on which relevant legally binding documentation is to be entered into as soon as practicable following the entering into of this letter.</w:t>
      </w:r>
    </w:p>
    <w:p>
      <w:pPr>
        <w:pStyle w:val="Normal"/>
        <w:jc w:val="both"/>
        <w:rPr/>
      </w:pPr>
      <w:r>
        <w:rPr/>
      </w:r>
    </w:p>
    <w:p>
      <w:pPr>
        <w:pStyle w:val="Heading1"/>
        <w:ind w:hanging="0" w:start="0"/>
        <w:jc w:val="both"/>
        <w:rPr/>
      </w:pPr>
      <w:r>
        <w:rPr/>
        <w:t>Termination</w:t>
      </w:r>
    </w:p>
    <w:p>
      <w:pPr>
        <w:pStyle w:val="Normal"/>
        <w:jc w:val="both"/>
        <w:rPr/>
      </w:pPr>
      <w:r>
        <w:rPr/>
      </w:r>
    </w:p>
    <w:p>
      <w:pPr>
        <w:pStyle w:val="Normal"/>
        <w:jc w:val="both"/>
        <w:rPr/>
      </w:pPr>
      <w:r>
        <w:rPr/>
        <w:t>This letter shall terminate on the earlier of (1) the entry into a formal legal agreement in respect of the Proposal and (2) [</w:t>
        <w:tab/>
        <w:t>] days from the date hereof.</w:t>
      </w:r>
    </w:p>
    <w:p>
      <w:pPr>
        <w:pStyle w:val="Normal"/>
        <w:jc w:val="both"/>
        <w:rPr/>
      </w:pPr>
      <w:r>
        <w:rPr/>
      </w:r>
    </w:p>
    <w:p>
      <w:pPr>
        <w:pStyle w:val="Heading1"/>
        <w:ind w:hanging="0" w:start="0"/>
        <w:jc w:val="both"/>
        <w:rPr/>
      </w:pPr>
      <w:r>
        <w:rPr/>
        <w:t>Governing Law</w:t>
      </w:r>
    </w:p>
    <w:p>
      <w:pPr>
        <w:pStyle w:val="Normal"/>
        <w:jc w:val="both"/>
        <w:rPr/>
      </w:pPr>
      <w:r>
        <w:rPr/>
      </w:r>
    </w:p>
    <w:p>
      <w:pPr>
        <w:pStyle w:val="Normal"/>
        <w:jc w:val="both"/>
        <w:rPr/>
      </w:pPr>
      <w:r>
        <w:rPr/>
        <w:t xml:space="preserve">This letter, so far as legally binding, will be governed by and construed in accordance with the law of England and Wales and ETSI and NYMEX hereby consent to the jurisdiction of the courts of England and Wales. </w:t>
      </w:r>
    </w:p>
    <w:p>
      <w:pPr>
        <w:pStyle w:val="Normal"/>
        <w:jc w:val="both"/>
        <w:rPr/>
      </w:pPr>
      <w:r>
        <w:rPr/>
      </w:r>
    </w:p>
    <w:p>
      <w:pPr>
        <w:pStyle w:val="Normal"/>
        <w:jc w:val="both"/>
        <w:rPr/>
      </w:pPr>
      <w:r>
        <w:rPr/>
        <w:t>Please indicate your agreement to the above by signing and returning a copy of this letter.</w:t>
      </w:r>
    </w:p>
    <w:p>
      <w:pPr>
        <w:pStyle w:val="Normal"/>
        <w:jc w:val="both"/>
        <w:rPr/>
      </w:pPr>
      <w:r>
        <w:rPr/>
      </w:r>
    </w:p>
    <w:p>
      <w:pPr>
        <w:pStyle w:val="Normal"/>
        <w:jc w:val="both"/>
        <w:rPr/>
      </w:pPr>
      <w:r>
        <w:rPr/>
        <w:t>Yours sincerely</w:t>
      </w:r>
    </w:p>
    <w:p>
      <w:pPr>
        <w:pStyle w:val="Normal"/>
        <w:jc w:val="both"/>
        <w:rPr/>
      </w:pPr>
      <w:r>
        <w:rPr/>
      </w:r>
    </w:p>
    <w:p>
      <w:pPr>
        <w:pStyle w:val="Normal"/>
        <w:jc w:val="both"/>
        <w:rPr/>
      </w:pPr>
      <w:r>
        <w:rPr/>
      </w:r>
    </w:p>
    <w:p>
      <w:pPr>
        <w:pStyle w:val="Normal"/>
        <w:jc w:val="both"/>
        <w:rPr/>
      </w:pPr>
      <w:r>
        <w:rPr/>
      </w:r>
    </w:p>
    <w:p>
      <w:pPr>
        <w:pStyle w:val="Heading2"/>
        <w:ind w:hanging="0" w:start="0"/>
        <w:jc w:val="both"/>
        <w:rPr/>
      </w:pPr>
      <w:r>
        <w:rPr/>
        <w:t>Michael Hutchinson</w:t>
      </w:r>
    </w:p>
    <w:p>
      <w:pPr>
        <w:pStyle w:val="Normal"/>
        <w:jc w:val="both"/>
        <w:rPr>
          <w:b/>
          <w:bCs/>
        </w:rPr>
      </w:pPr>
      <w:r>
        <w:rPr>
          <w:b/>
          <w:bCs/>
        </w:rPr>
        <w:t>For and on behalf of</w:t>
      </w:r>
    </w:p>
    <w:p>
      <w:pPr>
        <w:pStyle w:val="Normal"/>
        <w:jc w:val="both"/>
        <w:rPr>
          <w:b/>
          <w:bCs/>
        </w:rPr>
      </w:pPr>
      <w:r>
        <w:rPr>
          <w:b/>
          <w:bCs/>
        </w:rPr>
        <w:t>Enron Trading Services Inc.</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pPr>
      <w:r>
        <w:rPr/>
      </w:r>
    </w:p>
    <w:p>
      <w:pPr>
        <w:pStyle w:val="Normal"/>
        <w:jc w:val="both"/>
        <w:rPr/>
      </w:pPr>
      <w:r>
        <w:rPr/>
      </w:r>
    </w:p>
    <w:p>
      <w:pPr>
        <w:pStyle w:val="Normal"/>
        <w:jc w:val="both"/>
        <w:rPr/>
      </w:pPr>
      <w:r>
        <w:rPr/>
        <w:t xml:space="preserve">Signed by: </w:t>
        <w:tab/>
        <w:t>…………………………………………………………..</w:t>
      </w:r>
    </w:p>
    <w:p>
      <w:pPr>
        <w:pStyle w:val="Normal"/>
        <w:jc w:val="both"/>
        <w:rPr/>
      </w:pPr>
      <w:r>
        <w:rPr/>
      </w:r>
    </w:p>
    <w:p>
      <w:pPr>
        <w:pStyle w:val="Normal"/>
        <w:jc w:val="both"/>
        <w:rPr/>
      </w:pPr>
      <w:r>
        <w:rPr/>
        <w:tab/>
        <w:tab/>
        <w:t>For and on behalf of the New York Mercantile Exchange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2001-05-18T10:51:00Z</dcterms:created>
  <dc:creator>nedmonds</dc:creator>
  <dc:description/>
  <dc:language>en-CA</dc:language>
  <cp:lastModifiedBy>jmarsh</cp:lastModifiedBy>
  <cp:lastPrinted>2001-05-18T14:39:00Z</cp:lastPrinted>
  <dcterms:modified xsi:type="dcterms:W3CDTF">2001-05-18T11:30:00Z</dcterms:modified>
  <cp:revision>3</cp:revision>
  <dc:subject/>
  <dc:title>STRICTLY PRIVATE &amp; CONFIDENTIAL</dc:title>
</cp:coreProperties>
</file>