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Nutra Foods, Case 22-1</w:t>
      </w:r>
    </w:p>
    <w:p>
      <w:pPr>
        <w:pStyle w:val="Normal"/>
        <w:rPr/>
      </w:pPr>
      <w:r>
        <w:rPr/>
      </w:r>
    </w:p>
    <w:p>
      <w:pPr>
        <w:pStyle w:val="Normal"/>
        <w:numPr>
          <w:ilvl w:val="0"/>
          <w:numId w:val="2"/>
        </w:numPr>
        <w:rPr/>
      </w:pPr>
      <w:r>
        <w:rPr/>
        <w:t>Evaluate Ed McCowan's investment at June 10, 1995.</w:t>
      </w:r>
    </w:p>
    <w:p>
      <w:pPr>
        <w:pStyle w:val="Normal"/>
        <w:rPr/>
      </w:pPr>
      <w:r>
        <w:rPr/>
      </w:r>
    </w:p>
    <w:tbl>
      <w:tblPr>
        <w:tblW w:w="9100" w:type="dxa"/>
        <w:jc w:val="start"/>
        <w:tblInd w:w="0" w:type="dxa"/>
        <w:tblLayout w:type="fixed"/>
        <w:tblCellMar>
          <w:top w:w="0" w:type="dxa"/>
          <w:start w:w="30" w:type="dxa"/>
          <w:bottom w:w="0" w:type="dxa"/>
          <w:end w:w="30" w:type="dxa"/>
        </w:tblCellMar>
      </w:tblPr>
      <w:tblGrid>
        <w:gridCol w:w="1192"/>
        <w:gridCol w:w="4305"/>
        <w:gridCol w:w="1461"/>
        <w:gridCol w:w="2142"/>
      </w:tblGrid>
      <w:tr>
        <w:trPr>
          <w:trHeight w:val="247" w:hRule="atLeast"/>
        </w:trPr>
        <w:tc>
          <w:tcPr>
            <w:tcW w:w="1192" w:type="dxa"/>
            <w:tcBorders>
              <w:top w:val="single" w:sz="4" w:space="0" w:color="000000"/>
              <w:start w:val="single" w:sz="4" w:space="0" w:color="000000"/>
              <w:bottom w:val="single" w:sz="6" w:space="0" w:color="000000"/>
              <w:end w:val="single" w:sz="6" w:space="0" w:color="000000"/>
            </w:tcBorders>
          </w:tcPr>
          <w:p>
            <w:pPr>
              <w:pStyle w:val="Normal"/>
              <w:rPr>
                <w:b/>
                <w:color w:val="000000"/>
                <w:u w:val="single"/>
                <w:lang w:eastAsia="en-US"/>
              </w:rPr>
            </w:pPr>
            <w:r>
              <w:rPr>
                <w:b/>
                <w:color w:val="000000"/>
                <w:u w:val="single"/>
                <w:lang w:eastAsia="en-US"/>
              </w:rPr>
              <w:t>Date</w:t>
            </w:r>
          </w:p>
        </w:tc>
        <w:tc>
          <w:tcPr>
            <w:tcW w:w="4305" w:type="dxa"/>
            <w:tcBorders>
              <w:top w:val="single" w:sz="4" w:space="0" w:color="000000"/>
              <w:start w:val="single" w:sz="6" w:space="0" w:color="000000"/>
              <w:bottom w:val="single" w:sz="6" w:space="0" w:color="000000"/>
              <w:end w:val="single" w:sz="6" w:space="0" w:color="000000"/>
            </w:tcBorders>
          </w:tcPr>
          <w:p>
            <w:pPr>
              <w:pStyle w:val="Normal"/>
              <w:rPr>
                <w:b/>
                <w:color w:val="000000"/>
                <w:u w:val="single"/>
                <w:lang w:eastAsia="en-US"/>
              </w:rPr>
            </w:pPr>
            <w:r>
              <w:rPr>
                <w:b/>
                <w:color w:val="000000"/>
                <w:u w:val="single"/>
                <w:lang w:eastAsia="en-US"/>
              </w:rPr>
              <w:t>Activity</w:t>
            </w:r>
          </w:p>
        </w:tc>
        <w:tc>
          <w:tcPr>
            <w:tcW w:w="1461" w:type="dxa"/>
            <w:tcBorders>
              <w:top w:val="single" w:sz="4" w:space="0" w:color="000000"/>
              <w:start w:val="single" w:sz="6" w:space="0" w:color="000000"/>
              <w:bottom w:val="single" w:sz="6" w:space="0" w:color="000000"/>
              <w:end w:val="single" w:sz="6" w:space="0" w:color="000000"/>
            </w:tcBorders>
          </w:tcPr>
          <w:p>
            <w:pPr>
              <w:pStyle w:val="Normal"/>
              <w:rPr>
                <w:b/>
                <w:color w:val="000000"/>
                <w:u w:val="single"/>
                <w:lang w:eastAsia="en-US"/>
              </w:rPr>
            </w:pPr>
            <w:r>
              <w:rPr>
                <w:b/>
                <w:color w:val="000000"/>
                <w:u w:val="single"/>
                <w:lang w:eastAsia="en-US"/>
              </w:rPr>
              <w:t>Value</w:t>
            </w:r>
          </w:p>
        </w:tc>
        <w:tc>
          <w:tcPr>
            <w:tcW w:w="2142" w:type="dxa"/>
            <w:tcBorders>
              <w:top w:val="single" w:sz="4" w:space="0" w:color="000000"/>
              <w:start w:val="single" w:sz="6" w:space="0" w:color="000000"/>
              <w:bottom w:val="single" w:sz="6" w:space="0" w:color="000000"/>
              <w:end w:val="single" w:sz="4" w:space="0" w:color="000000"/>
            </w:tcBorders>
          </w:tcPr>
          <w:p>
            <w:pPr>
              <w:pStyle w:val="Normal"/>
              <w:rPr>
                <w:b/>
                <w:color w:val="000000"/>
                <w:u w:val="single"/>
                <w:lang w:eastAsia="en-US"/>
              </w:rPr>
            </w:pPr>
            <w:r>
              <w:rPr>
                <w:b/>
                <w:color w:val="000000"/>
                <w:u w:val="single"/>
                <w:lang w:eastAsia="en-US"/>
              </w:rPr>
              <w:t>Number of Shares</w:t>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5-May-94</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Bought 40 common shares at $38.00</w:t>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rFonts w:eastAsia="Arial"/>
                <w:color w:val="000000"/>
                <w:lang w:eastAsia="en-US"/>
              </w:rPr>
              <w:t xml:space="preserve"> </w:t>
            </w:r>
            <w:r>
              <w:rPr>
                <w:color w:val="000000"/>
                <w:lang w:eastAsia="en-US"/>
              </w:rPr>
              <w:t>$(1,539.60)</w:t>
            </w:r>
          </w:p>
        </w:tc>
        <w:tc>
          <w:tcPr>
            <w:tcW w:w="2142" w:type="dxa"/>
            <w:tcBorders>
              <w:top w:val="single" w:sz="6" w:space="0" w:color="000000"/>
              <w:start w:val="single" w:sz="6" w:space="0" w:color="000000"/>
              <w:bottom w:val="single" w:sz="6" w:space="0" w:color="000000"/>
              <w:end w:val="single" w:sz="4" w:space="0" w:color="000000"/>
            </w:tcBorders>
          </w:tcPr>
          <w:p>
            <w:pPr>
              <w:pStyle w:val="Normal"/>
              <w:jc w:val="end"/>
              <w:rPr>
                <w:color w:val="000000"/>
                <w:lang w:eastAsia="en-US"/>
              </w:rPr>
            </w:pPr>
            <w:r>
              <w:rPr>
                <w:color w:val="000000"/>
                <w:lang w:eastAsia="en-US"/>
              </w:rPr>
              <w:t>40</w:t>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20-Jul-94</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Received cash dividends, 40 @ $.25</w:t>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rFonts w:eastAsia="Arial"/>
                <w:color w:val="000000"/>
                <w:lang w:eastAsia="en-US"/>
              </w:rPr>
              <w:t xml:space="preserve"> </w:t>
            </w:r>
            <w:r>
              <w:rPr>
                <w:color w:val="000000"/>
                <w:lang w:eastAsia="en-US"/>
              </w:rPr>
              <w:t xml:space="preserve">$      10.00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20-Oct-94</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Received cash dividends, 40 @ $.26</w:t>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rFonts w:eastAsia="Arial"/>
                <w:color w:val="000000"/>
                <w:lang w:eastAsia="en-US"/>
              </w:rPr>
              <w:t xml:space="preserve"> </w:t>
            </w:r>
            <w:r>
              <w:rPr>
                <w:color w:val="000000"/>
                <w:lang w:eastAsia="en-US"/>
              </w:rPr>
              <w:t xml:space="preserve">$      10.00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25-Oct-94</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Received two shares common stock div</w:t>
            </w:r>
          </w:p>
        </w:tc>
        <w:tc>
          <w:tcPr>
            <w:tcW w:w="1461"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lang w:eastAsia="en-US"/>
              </w:rPr>
            </w:pPr>
            <w:r>
              <w:rPr>
                <w:color w:val="000000"/>
                <w:lang w:eastAsia="en-US"/>
              </w:rPr>
            </w:r>
          </w:p>
        </w:tc>
        <w:tc>
          <w:tcPr>
            <w:tcW w:w="2142" w:type="dxa"/>
            <w:tcBorders>
              <w:top w:val="single" w:sz="6" w:space="0" w:color="000000"/>
              <w:start w:val="single" w:sz="6" w:space="0" w:color="000000"/>
              <w:bottom w:val="single" w:sz="6" w:space="0" w:color="000000"/>
              <w:end w:val="single" w:sz="4" w:space="0" w:color="000000"/>
            </w:tcBorders>
          </w:tcPr>
          <w:p>
            <w:pPr>
              <w:pStyle w:val="Normal"/>
              <w:jc w:val="end"/>
              <w:rPr>
                <w:color w:val="000000"/>
                <w:lang w:eastAsia="en-US"/>
              </w:rPr>
            </w:pPr>
            <w:r>
              <w:rPr>
                <w:color w:val="000000"/>
                <w:lang w:eastAsia="en-US"/>
              </w:rPr>
              <w:t>42</w:t>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20-Jan-95</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Received cash dividends, 42 @ $.25</w:t>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rFonts w:eastAsia="Arial"/>
                <w:color w:val="000000"/>
                <w:lang w:eastAsia="en-US"/>
              </w:rPr>
              <w:t xml:space="preserve"> </w:t>
            </w:r>
            <w:r>
              <w:rPr>
                <w:color w:val="000000"/>
                <w:lang w:eastAsia="en-US"/>
              </w:rPr>
              <w:t xml:space="preserve">$      10.50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15-Mar-95</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Received 21 shares, 3 for 2 stock split</w:t>
            </w:r>
          </w:p>
        </w:tc>
        <w:tc>
          <w:tcPr>
            <w:tcW w:w="1461"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lang w:eastAsia="en-US"/>
              </w:rPr>
            </w:pPr>
            <w:r>
              <w:rPr>
                <w:color w:val="000000"/>
                <w:lang w:eastAsia="en-US"/>
              </w:rPr>
            </w:r>
          </w:p>
        </w:tc>
        <w:tc>
          <w:tcPr>
            <w:tcW w:w="2142" w:type="dxa"/>
            <w:tcBorders>
              <w:top w:val="single" w:sz="6" w:space="0" w:color="000000"/>
              <w:start w:val="single" w:sz="6" w:space="0" w:color="000000"/>
              <w:bottom w:val="single" w:sz="6" w:space="0" w:color="000000"/>
              <w:end w:val="single" w:sz="4" w:space="0" w:color="000000"/>
            </w:tcBorders>
          </w:tcPr>
          <w:p>
            <w:pPr>
              <w:pStyle w:val="Normal"/>
              <w:jc w:val="end"/>
              <w:rPr>
                <w:color w:val="000000"/>
                <w:lang w:eastAsia="en-US"/>
              </w:rPr>
            </w:pPr>
            <w:r>
              <w:rPr>
                <w:color w:val="000000"/>
                <w:lang w:eastAsia="en-US"/>
              </w:rPr>
              <w:t>63</w:t>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20-Apr-95</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Received cash dividends, 63 @ $.20</w:t>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rFonts w:eastAsia="Arial"/>
                <w:color w:val="000000"/>
                <w:lang w:eastAsia="en-US"/>
              </w:rPr>
              <w:t xml:space="preserve"> </w:t>
            </w:r>
            <w:r>
              <w:rPr>
                <w:color w:val="000000"/>
                <w:lang w:eastAsia="en-US"/>
              </w:rPr>
              <w:t xml:space="preserve">$      12.60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snapToGrid w:val="false"/>
              <w:jc w:val="end"/>
              <w:rPr>
                <w:color w:val="000000"/>
                <w:lang w:eastAsia="en-US"/>
              </w:rPr>
            </w:pPr>
            <w:r>
              <w:rPr>
                <w:color w:val="000000"/>
                <w:lang w:eastAsia="en-US"/>
              </w:rPr>
            </w:r>
          </w:p>
        </w:tc>
        <w:tc>
          <w:tcPr>
            <w:tcW w:w="4305"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lang w:eastAsia="en-US"/>
              </w:rPr>
            </w:pPr>
            <w:r>
              <w:rPr>
                <w:color w:val="000000"/>
                <w:lang w:eastAsia="en-US"/>
              </w:rPr>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rFonts w:eastAsia="Arial"/>
                <w:color w:val="000000"/>
                <w:lang w:eastAsia="en-US"/>
              </w:rPr>
            </w:pPr>
            <w:r>
              <w:rPr>
                <w:rFonts w:eastAsia="Arial"/>
                <w:color w:val="000000"/>
                <w:lang w:eastAsia="en-US"/>
              </w:rPr>
              <w:t xml:space="preserve">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jc w:val="end"/>
              <w:rPr>
                <w:color w:val="000000"/>
                <w:lang w:eastAsia="en-US"/>
              </w:rPr>
            </w:pPr>
            <w:r>
              <w:rPr>
                <w:color w:val="000000"/>
                <w:lang w:eastAsia="en-US"/>
              </w:rPr>
              <w:t>10-Jun-95</w:t>
            </w:r>
          </w:p>
        </w:tc>
        <w:tc>
          <w:tcPr>
            <w:tcW w:w="4305" w:type="dxa"/>
            <w:tcBorders>
              <w:top w:val="single" w:sz="6" w:space="0" w:color="000000"/>
              <w:start w:val="single" w:sz="6" w:space="0" w:color="000000"/>
              <w:bottom w:val="single" w:sz="6" w:space="0" w:color="000000"/>
              <w:end w:val="single" w:sz="6" w:space="0" w:color="000000"/>
            </w:tcBorders>
          </w:tcPr>
          <w:p>
            <w:pPr>
              <w:pStyle w:val="Normal"/>
              <w:rPr>
                <w:color w:val="000000"/>
                <w:lang w:eastAsia="en-US"/>
              </w:rPr>
            </w:pPr>
            <w:r>
              <w:rPr>
                <w:color w:val="000000"/>
                <w:lang w:eastAsia="en-US"/>
              </w:rPr>
              <w:t>Value of stock = 63 shares X $28.5</w:t>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rFonts w:eastAsia="Arial"/>
                <w:color w:val="000000"/>
                <w:lang w:eastAsia="en-US"/>
              </w:rPr>
              <w:t xml:space="preserve"> </w:t>
            </w:r>
            <w:r>
              <w:rPr>
                <w:color w:val="000000"/>
                <w:lang w:eastAsia="en-US"/>
              </w:rPr>
              <w:t xml:space="preserve">$ 1,795.50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6" w:space="0" w:color="000000"/>
              <w:end w:val="single" w:sz="6" w:space="0" w:color="000000"/>
            </w:tcBorders>
          </w:tcPr>
          <w:p>
            <w:pPr>
              <w:pStyle w:val="Normal"/>
              <w:snapToGrid w:val="false"/>
              <w:jc w:val="end"/>
              <w:rPr>
                <w:color w:val="000000"/>
                <w:lang w:eastAsia="en-US"/>
              </w:rPr>
            </w:pPr>
            <w:r>
              <w:rPr>
                <w:color w:val="000000"/>
                <w:lang w:eastAsia="en-US"/>
              </w:rPr>
            </w:r>
          </w:p>
        </w:tc>
        <w:tc>
          <w:tcPr>
            <w:tcW w:w="4305"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lang w:eastAsia="en-US"/>
              </w:rPr>
            </w:pPr>
            <w:r>
              <w:rPr>
                <w:color w:val="000000"/>
                <w:lang w:eastAsia="en-US"/>
              </w:rPr>
            </w:r>
          </w:p>
        </w:tc>
        <w:tc>
          <w:tcPr>
            <w:tcW w:w="1461" w:type="dxa"/>
            <w:tcBorders>
              <w:top w:val="single" w:sz="6" w:space="0" w:color="000000"/>
              <w:start w:val="single" w:sz="6" w:space="0" w:color="000000"/>
              <w:bottom w:val="single" w:sz="6" w:space="0" w:color="000000"/>
              <w:end w:val="single" w:sz="6" w:space="0" w:color="000000"/>
            </w:tcBorders>
          </w:tcPr>
          <w:p>
            <w:pPr>
              <w:pStyle w:val="Normal"/>
              <w:jc w:val="end"/>
              <w:rPr>
                <w:rFonts w:eastAsia="Arial"/>
                <w:color w:val="000000"/>
                <w:lang w:eastAsia="en-US"/>
              </w:rPr>
            </w:pPr>
            <w:r>
              <w:rPr>
                <w:rFonts w:eastAsia="Arial"/>
                <w:color w:val="000000"/>
                <w:lang w:eastAsia="en-US"/>
              </w:rPr>
              <w:t xml:space="preserve">    </w:t>
            </w:r>
          </w:p>
        </w:tc>
        <w:tc>
          <w:tcPr>
            <w:tcW w:w="2142" w:type="dxa"/>
            <w:tcBorders>
              <w:top w:val="single" w:sz="6" w:space="0" w:color="000000"/>
              <w:start w:val="single" w:sz="6" w:space="0" w:color="000000"/>
              <w:bottom w:val="single" w:sz="6" w:space="0" w:color="000000"/>
              <w:end w:val="single" w:sz="4" w:space="0" w:color="000000"/>
            </w:tcBorders>
          </w:tcPr>
          <w:p>
            <w:pPr>
              <w:pStyle w:val="Normal"/>
              <w:snapToGrid w:val="false"/>
              <w:jc w:val="end"/>
              <w:rPr>
                <w:color w:val="000000"/>
                <w:lang w:eastAsia="en-US"/>
              </w:rPr>
            </w:pPr>
            <w:r>
              <w:rPr>
                <w:color w:val="000000"/>
                <w:lang w:eastAsia="en-US"/>
              </w:rPr>
            </w:r>
          </w:p>
        </w:tc>
      </w:tr>
      <w:tr>
        <w:trPr>
          <w:trHeight w:val="247" w:hRule="atLeast"/>
        </w:trPr>
        <w:tc>
          <w:tcPr>
            <w:tcW w:w="1192" w:type="dxa"/>
            <w:tcBorders>
              <w:top w:val="single" w:sz="6" w:space="0" w:color="000000"/>
              <w:start w:val="single" w:sz="4" w:space="0" w:color="000000"/>
              <w:bottom w:val="single" w:sz="4" w:space="0" w:color="000000"/>
              <w:end w:val="single" w:sz="6" w:space="0" w:color="000000"/>
            </w:tcBorders>
          </w:tcPr>
          <w:p>
            <w:pPr>
              <w:pStyle w:val="Normal"/>
              <w:jc w:val="end"/>
              <w:rPr>
                <w:b/>
                <w:color w:val="000000"/>
                <w:lang w:eastAsia="en-US"/>
              </w:rPr>
            </w:pPr>
            <w:r>
              <w:rPr>
                <w:b/>
                <w:color w:val="000000"/>
                <w:lang w:eastAsia="en-US"/>
              </w:rPr>
              <w:t>10-Jun-95</w:t>
            </w:r>
          </w:p>
        </w:tc>
        <w:tc>
          <w:tcPr>
            <w:tcW w:w="4305" w:type="dxa"/>
            <w:tcBorders>
              <w:top w:val="single" w:sz="6" w:space="0" w:color="000000"/>
              <w:start w:val="single" w:sz="6" w:space="0" w:color="000000"/>
              <w:bottom w:val="single" w:sz="4" w:space="0" w:color="000000"/>
              <w:end w:val="single" w:sz="6" w:space="0" w:color="000000"/>
            </w:tcBorders>
          </w:tcPr>
          <w:p>
            <w:pPr>
              <w:pStyle w:val="Normal"/>
              <w:rPr>
                <w:b/>
                <w:color w:val="000000"/>
                <w:lang w:eastAsia="en-US"/>
              </w:rPr>
            </w:pPr>
            <w:r>
              <w:rPr>
                <w:b/>
                <w:color w:val="000000"/>
                <w:lang w:eastAsia="en-US"/>
              </w:rPr>
              <w:t>Gain/loss from investment</w:t>
            </w:r>
          </w:p>
        </w:tc>
        <w:tc>
          <w:tcPr>
            <w:tcW w:w="1461" w:type="dxa"/>
            <w:tcBorders>
              <w:top w:val="single" w:sz="6" w:space="0" w:color="000000"/>
              <w:start w:val="single" w:sz="6" w:space="0" w:color="000000"/>
              <w:bottom w:val="single" w:sz="4" w:space="0" w:color="000000"/>
              <w:end w:val="single" w:sz="6" w:space="0" w:color="000000"/>
            </w:tcBorders>
          </w:tcPr>
          <w:p>
            <w:pPr>
              <w:pStyle w:val="Normal"/>
              <w:jc w:val="end"/>
              <w:rPr>
                <w:b/>
                <w:color w:val="000000"/>
                <w:lang w:eastAsia="en-US"/>
              </w:rPr>
            </w:pPr>
            <w:r>
              <w:rPr>
                <w:rFonts w:eastAsia="Arial"/>
                <w:b/>
                <w:color w:val="000000"/>
                <w:lang w:eastAsia="en-US"/>
              </w:rPr>
              <w:t xml:space="preserve"> </w:t>
            </w:r>
            <w:r>
              <w:rPr>
                <w:b/>
                <w:color w:val="000000"/>
                <w:lang w:eastAsia="en-US"/>
              </w:rPr>
              <w:t xml:space="preserve">$    299.00 </w:t>
            </w:r>
          </w:p>
        </w:tc>
        <w:tc>
          <w:tcPr>
            <w:tcW w:w="2142" w:type="dxa"/>
            <w:tcBorders>
              <w:top w:val="single" w:sz="6" w:space="0" w:color="000000"/>
              <w:start w:val="single" w:sz="6" w:space="0" w:color="000000"/>
              <w:bottom w:val="single" w:sz="4" w:space="0" w:color="000000"/>
              <w:end w:val="single" w:sz="4" w:space="0" w:color="000000"/>
            </w:tcBorders>
          </w:tcPr>
          <w:p>
            <w:pPr>
              <w:pStyle w:val="Normal"/>
              <w:snapToGrid w:val="false"/>
              <w:jc w:val="end"/>
              <w:rPr>
                <w:b/>
                <w:color w:val="000000"/>
                <w:lang w:eastAsia="en-US"/>
              </w:rPr>
            </w:pPr>
            <w:r>
              <w:rPr>
                <w:b/>
                <w:color w:val="000000"/>
                <w:lang w:eastAsia="en-US"/>
              </w:rPr>
            </w:r>
          </w:p>
        </w:tc>
      </w:tr>
    </w:tbl>
    <w:p>
      <w:pPr>
        <w:pStyle w:val="Normal"/>
        <w:rPr/>
      </w:pPr>
      <w:r>
        <w:rPr/>
      </w:r>
    </w:p>
    <w:p>
      <w:pPr>
        <w:pStyle w:val="Normal"/>
        <w:numPr>
          <w:ilvl w:val="0"/>
          <w:numId w:val="2"/>
        </w:numPr>
        <w:rPr/>
      </w:pPr>
      <w:r>
        <w:rPr/>
        <w:t>Examine the stock holders equity section of Nutra Food's balance sheet to:</w:t>
      </w:r>
    </w:p>
    <w:p>
      <w:pPr>
        <w:pStyle w:val="Normal"/>
        <w:numPr>
          <w:ilvl w:val="0"/>
          <w:numId w:val="8"/>
        </w:numPr>
        <w:tabs>
          <w:tab w:val="left" w:pos="720" w:leader="none"/>
        </w:tabs>
        <w:ind w:hanging="360" w:start="720" w:end="0"/>
        <w:rPr/>
      </w:pPr>
      <w:r>
        <w:rPr/>
        <w:t>Determine how each item was originally created</w:t>
      </w:r>
    </w:p>
    <w:p>
      <w:pPr>
        <w:pStyle w:val="Normal"/>
        <w:numPr>
          <w:ilvl w:val="0"/>
          <w:numId w:val="8"/>
        </w:numPr>
        <w:tabs>
          <w:tab w:val="left" w:pos="720" w:leader="none"/>
        </w:tabs>
        <w:ind w:hanging="360" w:start="720" w:end="0"/>
        <w:rPr/>
      </w:pPr>
      <w:r>
        <w:rPr/>
        <w:t>Explain changes during the year ended Aril 30, 1995</w:t>
      </w:r>
    </w:p>
    <w:p>
      <w:pPr>
        <w:pStyle w:val="Normal"/>
        <w:rPr/>
      </w:pPr>
      <w:r>
        <w:rPr/>
      </w:r>
    </w:p>
    <w:p>
      <w:pPr>
        <w:pStyle w:val="Heading3"/>
        <w:rPr/>
      </w:pPr>
      <w:r>
        <w:rPr/>
        <w:t>Preferred Stock</w:t>
      </w:r>
    </w:p>
    <w:p>
      <w:pPr>
        <w:pStyle w:val="Normal"/>
        <w:numPr>
          <w:ilvl w:val="0"/>
          <w:numId w:val="7"/>
        </w:numPr>
        <w:tabs>
          <w:tab w:val="left" w:pos="720" w:leader="none"/>
        </w:tabs>
        <w:ind w:hanging="360" w:start="720" w:end="0"/>
        <w:rPr/>
      </w:pPr>
      <w:r>
        <w:rPr/>
        <w:t xml:space="preserve">15,000 shares of preferred stock were originally authorized in 1982 for a public offering.  Each year, 4% of the preferred shares were issued.  A sample table of this is included below.  At some point, Nutra Foods started buying back preferred stock as it became valuable on the market.  </w:t>
      </w:r>
    </w:p>
    <w:p>
      <w:pPr>
        <w:pStyle w:val="Normal"/>
        <w:rPr/>
      </w:pPr>
      <w:r>
        <w:rPr/>
      </w:r>
    </w:p>
    <w:p>
      <w:pPr>
        <w:pStyle w:val="Heading2"/>
        <w:rPr/>
      </w:pPr>
      <w:r>
        <w:rPr/>
        <w:t>Issuance of cumulative preferred stock</w:t>
      </w:r>
    </w:p>
    <w:tbl>
      <w:tblPr>
        <w:tblW w:w="7830" w:type="dxa"/>
        <w:jc w:val="start"/>
        <w:tblInd w:w="750" w:type="dxa"/>
        <w:tblLayout w:type="fixed"/>
        <w:tblCellMar>
          <w:top w:w="0" w:type="dxa"/>
          <w:start w:w="30" w:type="dxa"/>
          <w:bottom w:w="0" w:type="dxa"/>
          <w:end w:w="30" w:type="dxa"/>
        </w:tblCellMar>
      </w:tblPr>
      <w:tblGrid>
        <w:gridCol w:w="990"/>
        <w:gridCol w:w="1710"/>
        <w:gridCol w:w="2430"/>
        <w:gridCol w:w="2700"/>
      </w:tblGrid>
      <w:tr>
        <w:trPr>
          <w:trHeight w:val="857" w:hRule="atLeast"/>
        </w:trPr>
        <w:tc>
          <w:tcPr>
            <w:tcW w:w="990" w:type="dxa"/>
            <w:tcBorders/>
          </w:tcPr>
          <w:p>
            <w:pPr>
              <w:pStyle w:val="Normal"/>
              <w:rPr>
                <w:color w:val="000000"/>
                <w:lang w:eastAsia="en-US"/>
              </w:rPr>
            </w:pPr>
            <w:r>
              <w:rPr>
                <w:color w:val="000000"/>
                <w:lang w:eastAsia="en-US"/>
              </w:rPr>
              <w:t>Year</w:t>
            </w:r>
          </w:p>
        </w:tc>
        <w:tc>
          <w:tcPr>
            <w:tcW w:w="1710" w:type="dxa"/>
            <w:tcBorders/>
          </w:tcPr>
          <w:p>
            <w:pPr>
              <w:pStyle w:val="Normal"/>
              <w:rPr>
                <w:color w:val="000000"/>
                <w:lang w:eastAsia="en-US"/>
              </w:rPr>
            </w:pPr>
            <w:r>
              <w:rPr>
                <w:color w:val="000000"/>
                <w:lang w:eastAsia="en-US"/>
              </w:rPr>
              <w:t>total shares</w:t>
            </w:r>
          </w:p>
        </w:tc>
        <w:tc>
          <w:tcPr>
            <w:tcW w:w="2430" w:type="dxa"/>
            <w:tcBorders/>
          </w:tcPr>
          <w:p>
            <w:pPr>
              <w:pStyle w:val="Normal"/>
              <w:rPr>
                <w:color w:val="000000"/>
                <w:lang w:eastAsia="en-US"/>
              </w:rPr>
            </w:pPr>
            <w:r>
              <w:rPr>
                <w:color w:val="000000"/>
                <w:lang w:eastAsia="en-US"/>
              </w:rPr>
              <w:t>shares issued that year - 4% cumulative</w:t>
            </w:r>
          </w:p>
        </w:tc>
        <w:tc>
          <w:tcPr>
            <w:tcW w:w="2700" w:type="dxa"/>
            <w:tcBorders/>
          </w:tcPr>
          <w:p>
            <w:pPr>
              <w:pStyle w:val="Normal"/>
              <w:rPr>
                <w:color w:val="000000"/>
                <w:lang w:eastAsia="en-US"/>
              </w:rPr>
            </w:pPr>
            <w:r>
              <w:rPr>
                <w:color w:val="000000"/>
                <w:lang w:eastAsia="en-US"/>
              </w:rPr>
              <w:t>Total</w:t>
            </w:r>
          </w:p>
        </w:tc>
      </w:tr>
      <w:tr>
        <w:trPr>
          <w:trHeight w:val="247" w:hRule="atLeast"/>
        </w:trPr>
        <w:tc>
          <w:tcPr>
            <w:tcW w:w="990" w:type="dxa"/>
            <w:tcBorders/>
          </w:tcPr>
          <w:p>
            <w:pPr>
              <w:pStyle w:val="Normal"/>
              <w:jc w:val="end"/>
              <w:rPr>
                <w:color w:val="000000"/>
                <w:lang w:eastAsia="en-US"/>
              </w:rPr>
            </w:pPr>
            <w:r>
              <w:rPr>
                <w:color w:val="000000"/>
                <w:lang w:eastAsia="en-US"/>
              </w:rPr>
              <w:t>1982</w:t>
            </w:r>
          </w:p>
        </w:tc>
        <w:tc>
          <w:tcPr>
            <w:tcW w:w="1710" w:type="dxa"/>
            <w:tcBorders/>
          </w:tcPr>
          <w:p>
            <w:pPr>
              <w:pStyle w:val="Normal"/>
              <w:jc w:val="end"/>
              <w:rPr>
                <w:color w:val="000000"/>
                <w:lang w:eastAsia="en-US"/>
              </w:rPr>
            </w:pPr>
            <w:r>
              <w:rPr>
                <w:color w:val="000000"/>
                <w:lang w:eastAsia="en-US"/>
              </w:rPr>
              <w:t>15000</w:t>
            </w:r>
          </w:p>
        </w:tc>
        <w:tc>
          <w:tcPr>
            <w:tcW w:w="2430" w:type="dxa"/>
            <w:tcBorders/>
          </w:tcPr>
          <w:p>
            <w:pPr>
              <w:pStyle w:val="Normal"/>
              <w:jc w:val="end"/>
              <w:rPr>
                <w:color w:val="000000"/>
                <w:lang w:eastAsia="en-US"/>
              </w:rPr>
            </w:pPr>
            <w:r>
              <w:rPr>
                <w:color w:val="000000"/>
                <w:lang w:eastAsia="en-US"/>
              </w:rPr>
              <w:t>600</w:t>
            </w:r>
          </w:p>
        </w:tc>
        <w:tc>
          <w:tcPr>
            <w:tcW w:w="2700" w:type="dxa"/>
            <w:tcBorders/>
          </w:tcPr>
          <w:p>
            <w:pPr>
              <w:pStyle w:val="Normal"/>
              <w:jc w:val="end"/>
              <w:rPr>
                <w:color w:val="000000"/>
                <w:lang w:eastAsia="en-US"/>
              </w:rPr>
            </w:pPr>
            <w:r>
              <w:rPr>
                <w:color w:val="000000"/>
                <w:lang w:eastAsia="en-US"/>
              </w:rPr>
              <w:t>15000</w:t>
            </w:r>
          </w:p>
        </w:tc>
      </w:tr>
      <w:tr>
        <w:trPr>
          <w:trHeight w:val="247" w:hRule="atLeast"/>
        </w:trPr>
        <w:tc>
          <w:tcPr>
            <w:tcW w:w="990" w:type="dxa"/>
            <w:tcBorders/>
          </w:tcPr>
          <w:p>
            <w:pPr>
              <w:pStyle w:val="Normal"/>
              <w:jc w:val="end"/>
              <w:rPr>
                <w:color w:val="000000"/>
                <w:lang w:eastAsia="en-US"/>
              </w:rPr>
            </w:pPr>
            <w:r>
              <w:rPr>
                <w:color w:val="000000"/>
                <w:lang w:eastAsia="en-US"/>
              </w:rPr>
              <w:t>1983</w:t>
            </w:r>
          </w:p>
        </w:tc>
        <w:tc>
          <w:tcPr>
            <w:tcW w:w="1710" w:type="dxa"/>
            <w:tcBorders/>
          </w:tcPr>
          <w:p>
            <w:pPr>
              <w:pStyle w:val="Normal"/>
              <w:jc w:val="end"/>
              <w:rPr>
                <w:color w:val="000000"/>
                <w:lang w:eastAsia="en-US"/>
              </w:rPr>
            </w:pPr>
            <w:r>
              <w:rPr>
                <w:color w:val="000000"/>
                <w:lang w:eastAsia="en-US"/>
              </w:rPr>
              <w:t>14400</w:t>
            </w:r>
          </w:p>
        </w:tc>
        <w:tc>
          <w:tcPr>
            <w:tcW w:w="2430" w:type="dxa"/>
            <w:tcBorders/>
          </w:tcPr>
          <w:p>
            <w:pPr>
              <w:pStyle w:val="Normal"/>
              <w:jc w:val="end"/>
              <w:rPr>
                <w:color w:val="000000"/>
                <w:lang w:eastAsia="en-US"/>
              </w:rPr>
            </w:pPr>
            <w:r>
              <w:rPr>
                <w:color w:val="000000"/>
                <w:lang w:eastAsia="en-US"/>
              </w:rPr>
              <w:t>576</w:t>
            </w:r>
          </w:p>
        </w:tc>
        <w:tc>
          <w:tcPr>
            <w:tcW w:w="2700" w:type="dxa"/>
            <w:tcBorders/>
          </w:tcPr>
          <w:p>
            <w:pPr>
              <w:pStyle w:val="Normal"/>
              <w:jc w:val="end"/>
              <w:rPr>
                <w:color w:val="000000"/>
                <w:lang w:eastAsia="en-US"/>
              </w:rPr>
            </w:pPr>
            <w:r>
              <w:rPr>
                <w:color w:val="000000"/>
                <w:lang w:eastAsia="en-US"/>
              </w:rPr>
              <w:t>14400</w:t>
            </w:r>
          </w:p>
        </w:tc>
      </w:tr>
      <w:tr>
        <w:trPr>
          <w:trHeight w:val="247" w:hRule="atLeast"/>
        </w:trPr>
        <w:tc>
          <w:tcPr>
            <w:tcW w:w="990" w:type="dxa"/>
            <w:tcBorders/>
          </w:tcPr>
          <w:p>
            <w:pPr>
              <w:pStyle w:val="Normal"/>
              <w:jc w:val="end"/>
              <w:rPr>
                <w:color w:val="000000"/>
                <w:lang w:eastAsia="en-US"/>
              </w:rPr>
            </w:pPr>
            <w:r>
              <w:rPr>
                <w:color w:val="000000"/>
                <w:lang w:eastAsia="en-US"/>
              </w:rPr>
              <w:t>1984</w:t>
            </w:r>
          </w:p>
        </w:tc>
        <w:tc>
          <w:tcPr>
            <w:tcW w:w="1710" w:type="dxa"/>
            <w:tcBorders/>
          </w:tcPr>
          <w:p>
            <w:pPr>
              <w:pStyle w:val="Normal"/>
              <w:jc w:val="end"/>
              <w:rPr>
                <w:color w:val="000000"/>
                <w:lang w:eastAsia="en-US"/>
              </w:rPr>
            </w:pPr>
            <w:r>
              <w:rPr>
                <w:color w:val="000000"/>
                <w:lang w:eastAsia="en-US"/>
              </w:rPr>
              <w:t>13824</w:t>
            </w:r>
          </w:p>
        </w:tc>
        <w:tc>
          <w:tcPr>
            <w:tcW w:w="2430" w:type="dxa"/>
            <w:tcBorders/>
          </w:tcPr>
          <w:p>
            <w:pPr>
              <w:pStyle w:val="Normal"/>
              <w:jc w:val="end"/>
              <w:rPr>
                <w:color w:val="000000"/>
                <w:lang w:eastAsia="en-US"/>
              </w:rPr>
            </w:pPr>
            <w:r>
              <w:rPr>
                <w:color w:val="000000"/>
                <w:lang w:eastAsia="en-US"/>
              </w:rPr>
              <w:t>552.96</w:t>
            </w:r>
          </w:p>
        </w:tc>
        <w:tc>
          <w:tcPr>
            <w:tcW w:w="2700" w:type="dxa"/>
            <w:tcBorders/>
          </w:tcPr>
          <w:p>
            <w:pPr>
              <w:pStyle w:val="Normal"/>
              <w:jc w:val="end"/>
              <w:rPr>
                <w:color w:val="000000"/>
                <w:lang w:eastAsia="en-US"/>
              </w:rPr>
            </w:pPr>
            <w:r>
              <w:rPr>
                <w:color w:val="000000"/>
                <w:lang w:eastAsia="en-US"/>
              </w:rPr>
              <w:t>13824</w:t>
            </w:r>
          </w:p>
        </w:tc>
      </w:tr>
      <w:tr>
        <w:trPr>
          <w:trHeight w:val="247" w:hRule="atLeast"/>
        </w:trPr>
        <w:tc>
          <w:tcPr>
            <w:tcW w:w="990" w:type="dxa"/>
            <w:tcBorders/>
          </w:tcPr>
          <w:p>
            <w:pPr>
              <w:pStyle w:val="Normal"/>
              <w:jc w:val="end"/>
              <w:rPr>
                <w:color w:val="000000"/>
                <w:lang w:eastAsia="en-US"/>
              </w:rPr>
            </w:pPr>
            <w:r>
              <w:rPr>
                <w:color w:val="000000"/>
                <w:lang w:eastAsia="en-US"/>
              </w:rPr>
              <w:t>…</w:t>
            </w:r>
          </w:p>
        </w:tc>
        <w:tc>
          <w:tcPr>
            <w:tcW w:w="1710" w:type="dxa"/>
            <w:tcBorders/>
          </w:tcPr>
          <w:p>
            <w:pPr>
              <w:pStyle w:val="Normal"/>
              <w:jc w:val="end"/>
              <w:rPr>
                <w:color w:val="000000"/>
                <w:lang w:eastAsia="en-US"/>
              </w:rPr>
            </w:pPr>
            <w:r>
              <w:rPr>
                <w:color w:val="000000"/>
                <w:lang w:eastAsia="en-US"/>
              </w:rPr>
              <w:t>…</w:t>
            </w:r>
          </w:p>
        </w:tc>
        <w:tc>
          <w:tcPr>
            <w:tcW w:w="2430" w:type="dxa"/>
            <w:tcBorders/>
          </w:tcPr>
          <w:p>
            <w:pPr>
              <w:pStyle w:val="Normal"/>
              <w:jc w:val="end"/>
              <w:rPr>
                <w:color w:val="000000"/>
                <w:lang w:eastAsia="en-US"/>
              </w:rPr>
            </w:pPr>
            <w:r>
              <w:rPr>
                <w:color w:val="000000"/>
                <w:lang w:eastAsia="en-US"/>
              </w:rPr>
              <w:t>…</w:t>
            </w:r>
          </w:p>
        </w:tc>
        <w:tc>
          <w:tcPr>
            <w:tcW w:w="2700" w:type="dxa"/>
            <w:tcBorders/>
          </w:tcPr>
          <w:p>
            <w:pPr>
              <w:pStyle w:val="Normal"/>
              <w:jc w:val="end"/>
              <w:rPr>
                <w:color w:val="000000"/>
                <w:lang w:eastAsia="en-US"/>
              </w:rPr>
            </w:pPr>
            <w:r>
              <w:rPr>
                <w:color w:val="000000"/>
                <w:lang w:eastAsia="en-US"/>
              </w:rPr>
              <w:t>…</w:t>
            </w:r>
          </w:p>
        </w:tc>
      </w:tr>
    </w:tbl>
    <w:p>
      <w:pPr>
        <w:pStyle w:val="Normal"/>
        <w:rPr/>
      </w:pPr>
      <w:r>
        <w:rPr/>
      </w:r>
    </w:p>
    <w:p>
      <w:pPr>
        <w:pStyle w:val="Normal"/>
        <w:numPr>
          <w:ilvl w:val="0"/>
          <w:numId w:val="7"/>
        </w:numPr>
        <w:tabs>
          <w:tab w:val="left" w:pos="720" w:leader="none"/>
        </w:tabs>
        <w:ind w:hanging="360" w:start="720" w:end="0"/>
        <w:rPr/>
      </w:pPr>
      <w:r>
        <w:rPr/>
        <w:t>In 1994, there were approximately 8847 shares of preferred stock.  This was calculated by using the $4.00 dividend per share and total reduction to retained earnings: $35386/$4.00/share = 8847 shares (approx).  In 1995, there is a total of 8797 shares of preferred stock outstanding:  8847-8797 = 50.  50 shares + 198 in treasury = 247 shares which is approximately the number of shares that were bought back in 1995.  The difference is most likely due to a rounding error in the reduction to retained earnings number.</w:t>
      </w:r>
    </w:p>
    <w:p>
      <w:pPr>
        <w:pStyle w:val="Normal"/>
        <w:rPr/>
      </w:pPr>
      <w:r>
        <w:rPr/>
        <w:tab/>
      </w:r>
    </w:p>
    <w:p>
      <w:pPr>
        <w:pStyle w:val="Heading3"/>
        <w:rPr/>
      </w:pPr>
      <w:r>
        <w:rPr/>
        <w:t>Common Stock</w:t>
      </w:r>
    </w:p>
    <w:p>
      <w:pPr>
        <w:pStyle w:val="Normal"/>
        <w:numPr>
          <w:ilvl w:val="0"/>
          <w:numId w:val="4"/>
        </w:numPr>
        <w:tabs>
          <w:tab w:val="left" w:pos="720" w:leader="none"/>
        </w:tabs>
        <w:ind w:hanging="360" w:start="720" w:end="0"/>
        <w:rPr/>
      </w:pPr>
      <w:r>
        <w:rPr/>
        <w:t>In 1982, 1 million shares of common stock were authorized at a $5.00 par value.</w:t>
      </w:r>
    </w:p>
    <w:p>
      <w:pPr>
        <w:pStyle w:val="Normal"/>
        <w:numPr>
          <w:ilvl w:val="0"/>
          <w:numId w:val="4"/>
        </w:numPr>
        <w:tabs>
          <w:tab w:val="left" w:pos="720" w:leader="none"/>
        </w:tabs>
        <w:ind w:hanging="360" w:start="720" w:end="0"/>
        <w:rPr/>
      </w:pPr>
      <w:r>
        <w:rPr/>
        <w:t>In 1995, Nutra Foods had the following transactions that affected common stock:</w:t>
      </w:r>
    </w:p>
    <w:p>
      <w:pPr>
        <w:pStyle w:val="Normal"/>
        <w:numPr>
          <w:ilvl w:val="0"/>
          <w:numId w:val="10"/>
        </w:numPr>
        <w:tabs>
          <w:tab w:val="left" w:pos="720" w:leader="none"/>
        </w:tabs>
        <w:ind w:hanging="360" w:start="720" w:end="0"/>
        <w:rPr/>
      </w:pPr>
      <w:r>
        <w:rPr/>
        <w:t>Issued 18,732 shares as stock dividends to common share holders</w:t>
      </w:r>
    </w:p>
    <w:p>
      <w:pPr>
        <w:pStyle w:val="Normal"/>
        <w:numPr>
          <w:ilvl w:val="0"/>
          <w:numId w:val="10"/>
        </w:numPr>
        <w:tabs>
          <w:tab w:val="left" w:pos="720" w:leader="none"/>
        </w:tabs>
        <w:ind w:hanging="360" w:start="720" w:end="0"/>
        <w:rPr/>
      </w:pPr>
      <w:r>
        <w:rPr/>
        <w:t>Transferred 196690 shares in connection with the 3/2 stock split to stock holders</w:t>
      </w:r>
    </w:p>
    <w:p>
      <w:pPr>
        <w:pStyle w:val="Normal"/>
        <w:ind w:start="360" w:end="0"/>
        <w:rPr/>
      </w:pPr>
      <w:r>
        <w:rPr/>
        <w:t>The total shares of common stock issued is 590, 552.</w:t>
      </w:r>
    </w:p>
    <w:p>
      <w:pPr>
        <w:pStyle w:val="Normal"/>
        <w:ind w:start="360" w:end="0"/>
        <w:rPr/>
      </w:pPr>
      <w:r>
        <w:rPr/>
      </w:r>
    </w:p>
    <w:p>
      <w:pPr>
        <w:pStyle w:val="Heading3"/>
        <w:rPr/>
      </w:pPr>
      <w:r>
        <w:rPr/>
        <w:t>Capital in Excess of Par</w:t>
      </w:r>
    </w:p>
    <w:p>
      <w:pPr>
        <w:pStyle w:val="Normal"/>
        <w:numPr>
          <w:ilvl w:val="0"/>
          <w:numId w:val="9"/>
        </w:numPr>
        <w:tabs>
          <w:tab w:val="left" w:pos="720" w:leader="none"/>
        </w:tabs>
        <w:ind w:hanging="360" w:start="720" w:end="0"/>
        <w:rPr/>
      </w:pPr>
      <w:r>
        <w:rPr/>
        <w:t>In 1982, Nutra Foods was authorized to issue 1 million shares of stock with  par value of $5.00.  The difference between the amount the shares are actually sold for and the par value is "capital in excess of par."</w:t>
      </w:r>
    </w:p>
    <w:p>
      <w:pPr>
        <w:pStyle w:val="Normal"/>
        <w:numPr>
          <w:ilvl w:val="0"/>
          <w:numId w:val="9"/>
        </w:numPr>
        <w:tabs>
          <w:tab w:val="left" w:pos="720" w:leader="none"/>
        </w:tabs>
        <w:ind w:hanging="360" w:start="720" w:end="0"/>
        <w:rPr/>
      </w:pPr>
      <w:r>
        <w:rPr/>
        <w:t>In 1995, Nutra Foods had the following transactions what affected capital in excess of par:</w:t>
      </w:r>
    </w:p>
    <w:p>
      <w:pPr>
        <w:pStyle w:val="Normal"/>
        <w:numPr>
          <w:ilvl w:val="0"/>
          <w:numId w:val="3"/>
        </w:numPr>
        <w:tabs>
          <w:tab w:val="left" w:pos="720" w:leader="none"/>
        </w:tabs>
        <w:ind w:hanging="360" w:start="720" w:end="0"/>
        <w:rPr/>
      </w:pPr>
      <w:r>
        <w:rPr/>
        <w:t>Gain on sale of 600 shares of treasury stock.  The company sold some of it's stock for more than par value.  $17,716 was assigned to capital in excess of par</w:t>
      </w:r>
    </w:p>
    <w:p>
      <w:pPr>
        <w:pStyle w:val="Normal"/>
        <w:numPr>
          <w:ilvl w:val="0"/>
          <w:numId w:val="3"/>
        </w:numPr>
        <w:tabs>
          <w:tab w:val="left" w:pos="720" w:leader="none"/>
        </w:tabs>
        <w:ind w:hanging="360" w:start="720" w:end="0"/>
        <w:rPr/>
      </w:pPr>
      <w:r>
        <w:rPr/>
        <w:t xml:space="preserve">Discount OF $4003 on purchase of 245 preferred shares.  Nutra Food bought back some of it's common stock because it had a high value in the market.  </w:t>
      </w:r>
    </w:p>
    <w:p>
      <w:pPr>
        <w:pStyle w:val="Normal"/>
        <w:numPr>
          <w:ilvl w:val="0"/>
          <w:numId w:val="3"/>
        </w:numPr>
        <w:tabs>
          <w:tab w:val="left" w:pos="720" w:leader="none"/>
        </w:tabs>
        <w:ind w:hanging="360" w:start="720" w:end="0"/>
        <w:rPr/>
      </w:pPr>
      <w:r>
        <w:rPr/>
        <w:t>Transfer to common stock in connection with 3-for-2 stock split.  Nutra Foods issued 196690 shares, each with a value of $5.00 over par for a total of (983450)</w:t>
      </w:r>
    </w:p>
    <w:p>
      <w:pPr>
        <w:pStyle w:val="Normal"/>
        <w:numPr>
          <w:ilvl w:val="0"/>
          <w:numId w:val="3"/>
        </w:numPr>
        <w:tabs>
          <w:tab w:val="left" w:pos="720" w:leader="none"/>
        </w:tabs>
        <w:ind w:hanging="360" w:start="720" w:end="0"/>
        <w:rPr/>
      </w:pPr>
      <w:r>
        <w:rPr/>
        <w:t>Payment of a stock dividend recorded at fair market value.  Funds are transferred from retained earnings to purchase the stock.  The capital in excess of par is:  18732 shares X ($38.00 - $5.00) = $618,156</w:t>
      </w:r>
    </w:p>
    <w:p>
      <w:pPr>
        <w:pStyle w:val="Normal"/>
        <w:rPr/>
      </w:pPr>
      <w:r>
        <w:rPr/>
      </w:r>
    </w:p>
    <w:p>
      <w:pPr>
        <w:pStyle w:val="Heading3"/>
        <w:rPr/>
      </w:pPr>
      <w:r>
        <w:rPr/>
        <w:t>Retained Earnings</w:t>
      </w:r>
    </w:p>
    <w:p>
      <w:pPr>
        <w:pStyle w:val="Normal"/>
        <w:numPr>
          <w:ilvl w:val="0"/>
          <w:numId w:val="11"/>
        </w:numPr>
        <w:tabs>
          <w:tab w:val="left" w:pos="720" w:leader="none"/>
        </w:tabs>
        <w:ind w:hanging="360" w:start="720" w:end="0"/>
        <w:rPr/>
      </w:pPr>
      <w:r>
        <w:rPr/>
        <w:t>Retained earnings is simply the portion of net income that has not been distributed as dividends</w:t>
      </w:r>
    </w:p>
    <w:p>
      <w:pPr>
        <w:pStyle w:val="Normal"/>
        <w:numPr>
          <w:ilvl w:val="0"/>
          <w:numId w:val="11"/>
        </w:numPr>
        <w:tabs>
          <w:tab w:val="left" w:pos="720" w:leader="none"/>
        </w:tabs>
        <w:ind w:hanging="360" w:start="720" w:end="0"/>
        <w:rPr/>
      </w:pPr>
      <w:r>
        <w:rPr/>
        <w:t>In 1995, the retained earnings account was affected by the following:</w:t>
      </w:r>
    </w:p>
    <w:p>
      <w:pPr>
        <w:pStyle w:val="Normal"/>
        <w:numPr>
          <w:ilvl w:val="0"/>
          <w:numId w:val="6"/>
        </w:numPr>
        <w:tabs>
          <w:tab w:val="left" w:pos="720" w:leader="none"/>
        </w:tabs>
        <w:ind w:hanging="360" w:start="720" w:end="0"/>
        <w:rPr/>
      </w:pPr>
      <w:r>
        <w:rPr/>
        <w:t>An increase of $1,376,871 in net income</w:t>
      </w:r>
    </w:p>
    <w:p>
      <w:pPr>
        <w:pStyle w:val="Normal"/>
        <w:numPr>
          <w:ilvl w:val="0"/>
          <w:numId w:val="6"/>
        </w:numPr>
        <w:tabs>
          <w:tab w:val="left" w:pos="720" w:leader="none"/>
        </w:tabs>
        <w:ind w:hanging="360" w:start="720" w:end="0"/>
        <w:rPr/>
      </w:pPr>
      <w:r>
        <w:rPr/>
        <w:t>A reduction in reserve for plant expansion</w:t>
      </w:r>
    </w:p>
    <w:p>
      <w:pPr>
        <w:pStyle w:val="Normal"/>
        <w:numPr>
          <w:ilvl w:val="0"/>
          <w:numId w:val="6"/>
        </w:numPr>
        <w:tabs>
          <w:tab w:val="left" w:pos="720" w:leader="none"/>
        </w:tabs>
        <w:ind w:hanging="360" w:start="720" w:end="0"/>
        <w:rPr/>
      </w:pPr>
      <w:r>
        <w:rPr/>
        <w:t>Cash dividends for common and preferred stock holders totaled   $443,753</w:t>
      </w:r>
    </w:p>
    <w:p>
      <w:pPr>
        <w:pStyle w:val="Normal"/>
        <w:numPr>
          <w:ilvl w:val="0"/>
          <w:numId w:val="6"/>
        </w:numPr>
        <w:tabs>
          <w:tab w:val="left" w:pos="720" w:leader="none"/>
        </w:tabs>
        <w:ind w:hanging="360" w:start="720" w:end="0"/>
        <w:rPr/>
      </w:pPr>
      <w:r>
        <w:rPr/>
        <w:t>A charge of $711,816 to pay for additional stock issued due to stock split</w:t>
      </w:r>
    </w:p>
    <w:p>
      <w:pPr>
        <w:pStyle w:val="Normal"/>
        <w:rPr/>
      </w:pPr>
      <w:r>
        <w:rPr/>
      </w:r>
    </w:p>
    <w:p>
      <w:pPr>
        <w:pStyle w:val="Heading3"/>
        <w:rPr/>
      </w:pPr>
      <w:r>
        <w:rPr/>
        <w:t>Treasury Stock</w:t>
      </w:r>
    </w:p>
    <w:p>
      <w:pPr>
        <w:pStyle w:val="Normal"/>
        <w:numPr>
          <w:ilvl w:val="0"/>
          <w:numId w:val="5"/>
        </w:numPr>
        <w:tabs>
          <w:tab w:val="left" w:pos="720" w:leader="none"/>
        </w:tabs>
        <w:ind w:hanging="360" w:start="720" w:end="0"/>
        <w:rPr/>
      </w:pPr>
      <w:r>
        <w:rPr/>
        <w:t>Treasury stock is company stock that is not outstanding, but has not yet been retired.  The original treasury stock was created when the company first bought back stock from the market.</w:t>
      </w:r>
    </w:p>
    <w:p>
      <w:pPr>
        <w:pStyle w:val="Normal"/>
        <w:numPr>
          <w:ilvl w:val="0"/>
          <w:numId w:val="5"/>
        </w:numPr>
        <w:tabs>
          <w:tab w:val="left" w:pos="720" w:leader="none"/>
        </w:tabs>
        <w:ind w:hanging="360" w:start="720" w:end="0"/>
        <w:rPr/>
      </w:pPr>
      <w:r>
        <w:rPr/>
        <w:t>In 1995, 600 shares of treasury stock were sold, leaving the total number of treasury shares at the April 30, 1995 at 4482.</w:t>
      </w:r>
    </w:p>
    <w:p>
      <w:pPr>
        <w:pStyle w:val="Normal"/>
        <w:numPr>
          <w:ilvl w:val="0"/>
          <w:numId w:val="2"/>
        </w:numPr>
        <w:rPr/>
      </w:pPr>
      <w:r>
        <w:rPr/>
        <w:t>Contrast Nutra Foods method of reporting preferred treasury stock and common treasury stock.</w:t>
      </w:r>
    </w:p>
    <w:p>
      <w:pPr>
        <w:pStyle w:val="Normal"/>
        <w:ind w:start="360" w:end="0"/>
        <w:rPr/>
      </w:pPr>
      <w:r>
        <w:rPr/>
        <w:t>Common treasury stock is reported at cost or market value ($28.00).  It is deducted from stockholders equity.  Preferred treasury shares are listed with preferred stock.  The net value of preferred stock is reported under the preferred stock line item.</w:t>
      </w:r>
    </w:p>
    <w:p>
      <w:pPr>
        <w:pStyle w:val="Normal"/>
        <w:ind w:start="360" w:end="0"/>
        <w:rPr/>
      </w:pPr>
      <w:r>
        <w:rPr/>
      </w:r>
    </w:p>
    <w:p>
      <w:pPr>
        <w:pStyle w:val="Normal"/>
        <w:numPr>
          <w:ilvl w:val="0"/>
          <w:numId w:val="2"/>
        </w:numPr>
        <w:rPr/>
      </w:pPr>
      <w:r>
        <w:rPr/>
        <w:t>What is the effect of Nutra's acquisition of treasury stock upon investor McCowan's holdings?</w:t>
      </w:r>
    </w:p>
    <w:p>
      <w:pPr>
        <w:pStyle w:val="Normal"/>
        <w:ind w:start="360" w:end="0"/>
        <w:rPr/>
      </w:pPr>
      <w:r>
        <w:rPr/>
        <w:t>When companies buy back stock, it means there is less available to trade on the market.  With less supply, the demand for Nutra stock will increase.  This causes the price of Nutra stock to increase.</w:t>
      </w:r>
    </w:p>
    <w:p>
      <w:pPr>
        <w:pStyle w:val="Normal"/>
        <w:rPr/>
      </w:pPr>
      <w:r>
        <w:rPr/>
      </w:r>
    </w:p>
    <w:p>
      <w:pPr>
        <w:pStyle w:val="Normal"/>
        <w:ind w:start="360" w:end="0"/>
        <w:rPr/>
      </w:pPr>
      <w:r>
        <w:rPr/>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lowerLetter"/>
      <w:lvlText w:val="(%1)"/>
      <w:lvlJc w:val="start"/>
      <w:pPr>
        <w:tabs>
          <w:tab w:val="num" w:pos="360"/>
        </w:tabs>
        <w:ind w:start="360" w:hanging="360"/>
      </w:pPr>
    </w:lvl>
  </w:abstractNum>
  <w:abstractNum w:abstractNumId="10">
    <w:lvl w:ilvl="0">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ind w:hanging="0" w:start="720" w:end="0"/>
      <w:outlineLvl w:val="1"/>
    </w:pPr>
    <w:rPr>
      <w:u w:val="single"/>
    </w:rPr>
  </w:style>
  <w:style w:type="paragraph" w:styleId="Heading3">
    <w:name w:val="heading 3"/>
    <w:basedOn w:val="Normal"/>
    <w:next w:val="Normal"/>
    <w:qFormat/>
    <w:pPr>
      <w:keepNext w:val="true"/>
      <w:numPr>
        <w:ilvl w:val="2"/>
        <w:numId w:val="1"/>
      </w:numPr>
      <w:ind w:hanging="0" w:start="360" w:end="0"/>
      <w:outlineLvl w:val="2"/>
    </w:pPr>
    <w:rPr>
      <w:i/>
      <w:u w:val="single"/>
    </w:rPr>
  </w:style>
  <w:style w:type="character" w:styleId="WW8Num2z0">
    <w:name w:val="WW8Num2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13z0">
    <w:name w:val="WW8Num13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2000-11-11T16:49:00Z</dcterms:created>
  <dc:creator>Kimberly Kupiecki</dc:creator>
  <dc:description/>
  <dc:language>en-CA</dc:language>
  <cp:lastModifiedBy>Kimberly Kupiecki</cp:lastModifiedBy>
  <dcterms:modified xsi:type="dcterms:W3CDTF">2000-11-11T23:47:00Z</dcterms:modified>
  <cp:revision>7</cp:revision>
  <dc:subject/>
  <dc:title>Nutra Foods, Case 22-1</dc:title>
</cp:coreProperties>
</file>