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268" w:leader="none"/>
          <w:tab w:val="left" w:pos="3686" w:leader="none"/>
          <w:tab w:val="left" w:pos="5670" w:leader="none"/>
          <w:tab w:val="left" w:pos="6480" w:leader="none"/>
        </w:tabs>
        <w:rPr/>
      </w:pPr>
      <w:r>
        <w:rPr>
          <w:i/>
          <w:sz w:val="24"/>
        </w:rPr>
        <w:t>The</w:t>
      </w:r>
      <w:r>
        <w:rPr>
          <w:sz w:val="24"/>
        </w:rPr>
        <w:t xml:space="preserve"> ASIA </w:t>
      </w:r>
      <w:r>
        <w:rPr>
          <w:i/>
          <w:sz w:val="24"/>
        </w:rPr>
        <w:t>Partnership</w:t>
      </w:r>
    </w:p>
    <w:p>
      <w:pPr>
        <w:pStyle w:val="Normal"/>
        <w:tabs>
          <w:tab w:val="clear" w:pos="720"/>
          <w:tab w:val="left" w:pos="2268" w:leader="none"/>
          <w:tab w:val="left" w:pos="3686" w:leader="none"/>
          <w:tab w:val="left" w:pos="5670" w:leader="none"/>
          <w:tab w:val="left" w:pos="6480" w:leader="none"/>
        </w:tabs>
        <w:rPr>
          <w:i/>
          <w:i/>
          <w:sz w:val="24"/>
        </w:rPr>
      </w:pPr>
      <w:r>
        <w:rPr>
          <w:i/>
          <w:sz w:val="24"/>
        </w:rPr>
      </w:r>
    </w:p>
    <w:p>
      <w:pPr>
        <w:pStyle w:val="Normal"/>
        <w:tabs>
          <w:tab w:val="clear" w:pos="720"/>
          <w:tab w:val="left" w:pos="2268" w:leader="none"/>
          <w:tab w:val="left" w:pos="3686" w:leader="none"/>
          <w:tab w:val="left" w:pos="5670" w:leader="none"/>
          <w:tab w:val="left" w:pos="6480" w:leader="none"/>
        </w:tabs>
        <w:jc w:val="center"/>
        <w:rPr>
          <w:b/>
        </w:rPr>
      </w:pPr>
      <w:r>
        <w:rPr>
          <w:b/>
        </w:rPr>
        <w:t>Enron – Broadband Services</w:t>
      </w:r>
    </w:p>
    <w:p>
      <w:pPr>
        <w:pStyle w:val="Normal"/>
        <w:tabs>
          <w:tab w:val="clear" w:pos="720"/>
          <w:tab w:val="left" w:pos="2268" w:leader="none"/>
          <w:tab w:val="left" w:pos="3686" w:leader="none"/>
          <w:tab w:val="left" w:pos="5670" w:leader="none"/>
          <w:tab w:val="left" w:pos="6480" w:leader="none"/>
        </w:tabs>
        <w:jc w:val="center"/>
        <w:rPr>
          <w:b/>
        </w:rPr>
      </w:pPr>
      <w:r>
        <w:rPr>
          <w:b/>
        </w:rPr>
        <w:t>Director of Public Affairs</w:t>
      </w:r>
    </w:p>
    <w:p>
      <w:pPr>
        <w:pStyle w:val="Normal"/>
        <w:tabs>
          <w:tab w:val="clear" w:pos="720"/>
          <w:tab w:val="left" w:pos="2268" w:leader="none"/>
          <w:tab w:val="left" w:pos="3686" w:leader="none"/>
          <w:tab w:val="left" w:pos="5670" w:leader="none"/>
          <w:tab w:val="left" w:pos="6480" w:leader="none"/>
        </w:tabs>
        <w:rPr>
          <w:b/>
        </w:rPr>
      </w:pPr>
      <w:r>
        <w:rPr>
          <w:b/>
        </w:rPr>
      </w:r>
    </w:p>
    <w:p>
      <w:pPr>
        <w:pStyle w:val="Normal"/>
        <w:tabs>
          <w:tab w:val="clear" w:pos="720"/>
          <w:tab w:val="left" w:pos="2268" w:leader="none"/>
          <w:tab w:val="left" w:pos="3686" w:leader="none"/>
          <w:tab w:val="left" w:pos="5670" w:leader="none"/>
          <w:tab w:val="left" w:pos="6480" w:leader="none"/>
        </w:tabs>
        <w:rPr/>
      </w:pPr>
      <w:r>
        <w:rPr/>
        <w:t>BIOGRAPHY:</w:t>
        <w:tab/>
      </w:r>
      <w:r>
        <w:rPr>
          <w:b/>
        </w:rPr>
        <w:t>Mr MAURICE NUNAS</w:t>
      </w:r>
    </w:p>
    <w:p>
      <w:pPr>
        <w:pStyle w:val="Normal"/>
        <w:tabs>
          <w:tab w:val="clear" w:pos="720"/>
          <w:tab w:val="left" w:pos="2268" w:leader="none"/>
          <w:tab w:val="left" w:pos="4820" w:leader="none"/>
          <w:tab w:val="left" w:pos="5954" w:leader="none"/>
          <w:tab w:val="left" w:pos="6480" w:leader="none"/>
        </w:tabs>
        <w:rPr/>
      </w:pPr>
      <w:r>
        <w:rPr/>
        <w:t>ADDRESS:</w:t>
        <w:tab/>
        <w:t>Singapore</w:t>
        <w:tab/>
      </w:r>
    </w:p>
    <w:p>
      <w:pPr>
        <w:pStyle w:val="Normal"/>
        <w:tabs>
          <w:tab w:val="clear" w:pos="720"/>
          <w:tab w:val="left" w:pos="2268" w:leader="none"/>
          <w:tab w:val="left" w:pos="4820" w:leader="none"/>
          <w:tab w:val="left" w:pos="5954" w:leader="none"/>
          <w:tab w:val="left" w:pos="6480" w:leader="none"/>
        </w:tabs>
        <w:rPr/>
      </w:pPr>
      <w:r>
        <w:rPr/>
        <w:t>NATIONALITY:</w:t>
        <w:tab/>
        <w:t>Canadian/Singapore Resident</w:t>
        <w:tab/>
      </w:r>
    </w:p>
    <w:p>
      <w:pPr>
        <w:pStyle w:val="Normal"/>
        <w:tabs>
          <w:tab w:val="clear" w:pos="720"/>
          <w:tab w:val="left" w:pos="2268" w:leader="none"/>
          <w:tab w:val="left" w:pos="4820" w:leader="none"/>
          <w:tab w:val="left" w:pos="5954" w:leader="none"/>
          <w:tab w:val="left" w:pos="6480" w:leader="none"/>
        </w:tabs>
        <w:rPr/>
      </w:pPr>
      <w:r>
        <w:rPr/>
      </w:r>
    </w:p>
    <w:p>
      <w:pPr>
        <w:pStyle w:val="Normal"/>
        <w:pBdr>
          <w:top w:val="single" w:sz="12" w:space="1" w:color="000000"/>
        </w:pBdr>
        <w:tabs>
          <w:tab w:val="clear" w:pos="720"/>
          <w:tab w:val="left" w:pos="2268" w:leader="none"/>
          <w:tab w:val="left" w:pos="3686" w:leader="none"/>
          <w:tab w:val="left" w:pos="5670" w:leader="none"/>
          <w:tab w:val="left" w:pos="6480" w:leader="none"/>
        </w:tabs>
        <w:rPr/>
      </w:pPr>
      <w:r>
        <w:rPr/>
      </w:r>
    </w:p>
    <w:p>
      <w:pPr>
        <w:pStyle w:val="Normal"/>
        <w:tabs>
          <w:tab w:val="clear" w:pos="720"/>
          <w:tab w:val="left" w:pos="2268" w:leader="none"/>
          <w:tab w:val="left" w:pos="3686" w:leader="none"/>
          <w:tab w:val="left" w:pos="5670" w:leader="none"/>
          <w:tab w:val="left" w:pos="6480" w:leader="none"/>
        </w:tabs>
        <w:rPr/>
      </w:pPr>
      <w:r>
        <w:rPr/>
        <w:t>SUMMARY:</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Over twenty-five years experience as a spectrum manager.  This includes drafting regulations, holding public consultations, making policies and procedures, licensing and inspecting radio stations, examining and certifying radio operators, resolving interference problems, and providing advice and assistance to the public and the Minister.</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Over eighteen years of supervisory experience in progressively more senior positions, demonstrating abilities such as leadership, team building, planning, organizing, motivating and controlling.</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Over seven years experience as an executive in the telecommunications industry.  This includes analyzing the requirements of the business, strategic planning, budgeting and setting corporate regulatory direction.</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Over seven years experience as a lobbyist, influencing governments in Asia/Pacific to change their regulatory framework.</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Five years experience as an executive in the Government; responsible for a budget of over $3m and an organization comprising three major divisions employing over forty engineers, technologists and support staff.</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Experience as an educator.  His students, in high school adult education boating classes, have one of the highest success rates of any in the program, demonstrating excellent presentation skills and abilities.  He has lectured for TEMIC (Telecommunications Executive Management Institute of Canada).  The students in these classes are spectrum management executives from various foreign countries, who have consistently rated his presentations highly.</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International regulatory experience as Chairman-Regulations, Canadian Preparatory Committee for WARC-92 and Chief Spokesman, Canadian Delegation to the 1992 World Administrative Radio Conference.  He was responsible for co-ordinating all Canadian regulatory proposals and positions, and for negotiating regulatory matters at the conference.</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Twice the recipient of the Deputy Ministers Group Achievement Award for excellence and recipient of the Gold Ribbon Award from the Canadian Association of Broadcasters.</w:t>
      </w:r>
    </w:p>
    <w:p>
      <w:pPr>
        <w:pStyle w:val="ListBullet"/>
        <w:numPr>
          <w:ilvl w:val="0"/>
          <w:numId w:val="2"/>
        </w:numPr>
        <w:ind w:hanging="0" w:start="0"/>
        <w:rPr>
          <w:rFonts w:ascii="Book Antiqua" w:hAnsi="Book Antiqua" w:cs="Book Antiqua"/>
          <w:sz w:val="20"/>
          <w:lang w:val="en-CA"/>
        </w:rPr>
      </w:pPr>
      <w:r>
        <w:rPr>
          <w:rFonts w:cs="Book Antiqua" w:ascii="Book Antiqua" w:hAnsi="Book Antiqua"/>
          <w:sz w:val="20"/>
          <w:lang w:val="en-CA"/>
        </w:rPr>
        <w:t>His job performance over the years, rated by numerous supervisors, has been predominantly superior and never less than fully satisfactory.</w:t>
      </w:r>
    </w:p>
    <w:p>
      <w:pPr>
        <w:pStyle w:val="ListBullet"/>
        <w:numPr>
          <w:ilvl w:val="0"/>
          <w:numId w:val="0"/>
        </w:numPr>
        <w:ind w:hanging="0" w:start="0"/>
        <w:rPr>
          <w:rFonts w:ascii="Book Antiqua" w:hAnsi="Book Antiqua" w:cs="Book Antiqua"/>
          <w:sz w:val="20"/>
          <w:lang w:val="en-CA"/>
        </w:rPr>
      </w:pPr>
      <w:r>
        <w:rPr>
          <w:rFonts w:cs="Book Antiqua" w:ascii="Book Antiqua" w:hAnsi="Book Antiqua"/>
          <w:sz w:val="20"/>
          <w:lang w:val="en-CA"/>
        </w:rPr>
      </w:r>
    </w:p>
    <w:p>
      <w:pPr>
        <w:pStyle w:val="Normal"/>
        <w:tabs>
          <w:tab w:val="clear" w:pos="720"/>
          <w:tab w:val="left" w:pos="567" w:leader="none"/>
          <w:tab w:val="left" w:pos="2268" w:leader="none"/>
          <w:tab w:val="left" w:pos="3686" w:leader="none"/>
          <w:tab w:val="left" w:pos="5670" w:leader="none"/>
          <w:tab w:val="left" w:pos="6480" w:leader="none"/>
        </w:tabs>
        <w:rPr/>
      </w:pPr>
      <w:r>
        <w:rPr/>
        <w:t>QUALIFICATIONS:</w:t>
      </w:r>
    </w:p>
    <w:p>
      <w:pPr>
        <w:pStyle w:val="Normal"/>
        <w:tabs>
          <w:tab w:val="clear" w:pos="720"/>
          <w:tab w:val="left" w:pos="1701" w:leader="none"/>
          <w:tab w:val="left" w:pos="2268" w:leader="none"/>
          <w:tab w:val="left" w:pos="3686" w:leader="none"/>
          <w:tab w:val="left" w:pos="5670" w:leader="none"/>
          <w:tab w:val="left" w:pos="6480" w:leader="none"/>
        </w:tabs>
        <w:ind w:hanging="1701" w:start="1701" w:end="0"/>
        <w:rPr/>
      </w:pPr>
      <w:r>
        <w:rPr/>
        <w:t>1990</w:t>
        <w:tab/>
      </w:r>
      <w:r>
        <w:rPr>
          <w:u w:val="single"/>
        </w:rPr>
        <w:t>Government of Canada</w:t>
      </w:r>
    </w:p>
    <w:p>
      <w:pPr>
        <w:pStyle w:val="Normal"/>
        <w:tabs>
          <w:tab w:val="clear" w:pos="720"/>
          <w:tab w:val="left" w:pos="1701" w:leader="none"/>
          <w:tab w:val="left" w:pos="3686" w:leader="none"/>
          <w:tab w:val="left" w:pos="5670" w:leader="none"/>
          <w:tab w:val="left" w:pos="6480" w:leader="none"/>
        </w:tabs>
        <w:ind w:hanging="1701" w:start="1701" w:end="0"/>
        <w:rPr/>
      </w:pPr>
      <w:r>
        <w:rPr/>
        <w:tab/>
      </w:r>
      <w:r>
        <w:rPr>
          <w:b/>
        </w:rPr>
        <w:t>Senior Management</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1701" w:leader="none"/>
          <w:tab w:val="left" w:pos="2268" w:leader="none"/>
          <w:tab w:val="left" w:pos="3686" w:leader="none"/>
          <w:tab w:val="left" w:pos="5670" w:leader="none"/>
          <w:tab w:val="left" w:pos="6480" w:leader="none"/>
        </w:tabs>
        <w:ind w:hanging="1701" w:start="1701" w:end="0"/>
        <w:rPr/>
      </w:pPr>
      <w:r>
        <w:rPr/>
        <w:t>1974</w:t>
        <w:tab/>
      </w:r>
      <w:r>
        <w:rPr>
          <w:u w:val="single"/>
        </w:rPr>
        <w:t>International Correspondence School</w:t>
      </w:r>
    </w:p>
    <w:p>
      <w:pPr>
        <w:pStyle w:val="Normal"/>
        <w:tabs>
          <w:tab w:val="clear" w:pos="720"/>
          <w:tab w:val="left" w:pos="1701" w:leader="none"/>
          <w:tab w:val="left" w:pos="3686" w:leader="none"/>
          <w:tab w:val="left" w:pos="5670" w:leader="none"/>
          <w:tab w:val="left" w:pos="6480" w:leader="none"/>
        </w:tabs>
        <w:ind w:hanging="1701" w:start="1701" w:end="0"/>
        <w:rPr/>
      </w:pPr>
      <w:r>
        <w:rPr/>
        <w:tab/>
      </w:r>
      <w:r>
        <w:rPr>
          <w:b/>
        </w:rPr>
        <w:t>Business Administration (Honors)</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1701" w:leader="none"/>
          <w:tab w:val="left" w:pos="2268" w:leader="none"/>
          <w:tab w:val="left" w:pos="3686" w:leader="none"/>
          <w:tab w:val="left" w:pos="5670" w:leader="none"/>
          <w:tab w:val="left" w:pos="6480" w:leader="none"/>
        </w:tabs>
        <w:ind w:hanging="1701" w:start="1701" w:end="0"/>
        <w:rPr/>
      </w:pPr>
      <w:r>
        <w:rPr/>
        <w:t>1968</w:t>
        <w:tab/>
      </w:r>
      <w:r>
        <w:rPr>
          <w:u w:val="single"/>
        </w:rPr>
        <w:t>Saskatchewan Technical Institute</w:t>
      </w:r>
    </w:p>
    <w:p>
      <w:pPr>
        <w:pStyle w:val="Normal"/>
        <w:tabs>
          <w:tab w:val="clear" w:pos="720"/>
          <w:tab w:val="left" w:pos="1701" w:leader="none"/>
          <w:tab w:val="left" w:pos="3686" w:leader="none"/>
          <w:tab w:val="left" w:pos="5670" w:leader="none"/>
          <w:tab w:val="left" w:pos="6480" w:leader="none"/>
        </w:tabs>
        <w:ind w:hanging="1701" w:start="1701" w:end="0"/>
        <w:rPr/>
      </w:pPr>
      <w:r>
        <w:rPr/>
        <w:tab/>
      </w:r>
      <w:r>
        <w:rPr>
          <w:b/>
        </w:rPr>
        <w:t>Electronics Engineering Technology</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t>RECENT PUBLICATIONS AND PRESENTATIONS:</w:t>
      </w:r>
    </w:p>
    <w:p>
      <w:pPr>
        <w:pStyle w:val="Normal"/>
        <w:tabs>
          <w:tab w:val="clear" w:pos="720"/>
          <w:tab w:val="left" w:pos="1701" w:leader="none"/>
          <w:tab w:val="left" w:pos="3686" w:leader="none"/>
          <w:tab w:val="left" w:pos="5670" w:leader="none"/>
          <w:tab w:val="left" w:pos="6480" w:leader="none"/>
        </w:tabs>
        <w:rPr/>
      </w:pPr>
      <w:r>
        <w:rPr>
          <w:b/>
          <w:bCs/>
        </w:rPr>
        <w:t>A Framework for Establishing Telecommunication Regulations In Asian Countries</w:t>
      </w:r>
      <w:r>
        <w:rPr/>
        <w:t>, Maurice Nunas and Andy Cobham, Motorola, September 1997</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0" w:leader="none"/>
          <w:tab w:val="left" w:pos="567" w:leader="none"/>
          <w:tab w:val="left" w:pos="3686" w:leader="none"/>
          <w:tab w:val="left" w:pos="5670" w:leader="none"/>
          <w:tab w:val="left" w:pos="6480" w:leader="none"/>
        </w:tabs>
        <w:rPr/>
      </w:pPr>
      <w:r>
        <w:rPr>
          <w:b/>
          <w:bCs/>
        </w:rPr>
        <w:t>Regulation Of Telecommunication Services With The Advent Of All-IP Networks</w:t>
      </w:r>
      <w:r>
        <w:rPr/>
        <w:t>, Terri O</w:t>
      </w:r>
      <w:r>
        <w:rPr>
          <w:rFonts w:cs="Times New Roman" w:ascii="Times New Roman" w:hAnsi="Times New Roman"/>
        </w:rPr>
        <w:t>’</w:t>
      </w:r>
      <w:r>
        <w:rPr/>
        <w:t>Connor and Maurice Nunas, Motorola, February 2001</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0" w:leader="none"/>
          <w:tab w:val="left" w:pos="3686" w:leader="none"/>
          <w:tab w:val="left" w:pos="5670" w:leader="none"/>
          <w:tab w:val="left" w:pos="6480" w:leader="none"/>
        </w:tabs>
        <w:rPr/>
      </w:pPr>
      <w:r>
        <w:rPr>
          <w:b/>
          <w:bCs/>
        </w:rPr>
        <w:t xml:space="preserve">Telecommunication and the Economy of a Nation – Growing the Nation Through Communication, </w:t>
      </w:r>
      <w:r>
        <w:rPr/>
        <w:t>Maurice Nunas, Motorola, March 1996</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3686" w:leader="none"/>
          <w:tab w:val="left" w:pos="5670" w:leader="none"/>
          <w:tab w:val="left" w:pos="6480" w:leader="none"/>
        </w:tabs>
        <w:rPr/>
      </w:pPr>
      <w:r>
        <w:rPr>
          <w:b/>
          <w:bCs/>
        </w:rPr>
        <w:t xml:space="preserve">Introducing IMT-2000 in Asia/Pacific – A Regulatory Perspective, </w:t>
      </w:r>
      <w:r>
        <w:rPr/>
        <w:t>Maurice Nunas, Motorola, March 1999</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3686" w:leader="none"/>
          <w:tab w:val="left" w:pos="5670" w:leader="none"/>
          <w:tab w:val="left" w:pos="6480" w:leader="none"/>
        </w:tabs>
        <w:rPr/>
      </w:pPr>
      <w:r>
        <w:rPr>
          <w:b/>
          <w:bCs/>
        </w:rPr>
        <w:t xml:space="preserve">Market Trends in Wireless Communication – Singapore, </w:t>
      </w:r>
      <w:r>
        <w:rPr/>
        <w:t>Maurice Nunas, ATIS Vice President, June 2000</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b/>
          <w:bCs/>
        </w:rPr>
        <w:t xml:space="preserve">Spectrum Auctions – A Motorola Policy Issue, </w:t>
      </w:r>
      <w:r>
        <w:rPr/>
        <w:t>Maurice Nunas, Motorola, July 2000</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0" w:leader="none"/>
          <w:tab w:val="left" w:pos="567" w:leader="none"/>
          <w:tab w:val="left" w:pos="3686" w:leader="none"/>
          <w:tab w:val="left" w:pos="5670" w:leader="none"/>
          <w:tab w:val="left" w:pos="6480" w:leader="none"/>
        </w:tabs>
        <w:rPr/>
      </w:pPr>
      <w:r>
        <w:rPr>
          <w:b/>
          <w:bCs/>
        </w:rPr>
        <w:t xml:space="preserve">Convergent Spectrum Management – Managing Broadcasting And Radiocommunication Spectrum Under One Umbrella, </w:t>
      </w:r>
      <w:r>
        <w:rPr/>
        <w:t xml:space="preserve">Maurice Nunas and Stu Overby, Motorola, January </w:t>
      </w:r>
      <w:r>
        <w:rPr/>
        <w:t>2001</w:t>
      </w:r>
    </w:p>
    <w:p>
      <w:pPr>
        <w:pStyle w:val="Normal"/>
        <w:tabs>
          <w:tab w:val="clear" w:pos="720"/>
          <w:tab w:val="left" w:pos="567" w:leader="none"/>
          <w:tab w:val="left" w:pos="1701" w:leader="none"/>
          <w:tab w:val="left" w:pos="3686" w:leader="none"/>
          <w:tab w:val="left" w:pos="5670" w:leader="none"/>
          <w:tab w:val="left" w:pos="6480" w:leader="none"/>
        </w:tabs>
        <w:ind w:hanging="1701" w:start="1701" w:end="0"/>
        <w:rPr/>
      </w:pPr>
      <w:r>
        <w:rPr/>
      </w:r>
    </w:p>
    <w:p>
      <w:pPr>
        <w:pStyle w:val="Normal"/>
        <w:tabs>
          <w:tab w:val="clear" w:pos="720"/>
          <w:tab w:val="left" w:pos="567" w:leader="none"/>
          <w:tab w:val="left" w:pos="3686" w:leader="none"/>
          <w:tab w:val="left" w:pos="5670" w:leader="none"/>
          <w:tab w:val="left" w:pos="6480" w:leader="none"/>
        </w:tabs>
        <w:rPr/>
      </w:pPr>
      <w:r>
        <w:rPr>
          <w:b/>
          <w:bCs/>
        </w:rPr>
        <w:t xml:space="preserve">Managing Radiocommunication Technology in India Beyond the Year 2000, </w:t>
      </w:r>
      <w:r>
        <w:rPr/>
        <w:t>Maurice Nunas, Director Motorola Corporate Government Relations Asia/Pacific, Motorola, March 1995</w:t>
      </w:r>
    </w:p>
    <w:p>
      <w:pPr>
        <w:pStyle w:val="Normal"/>
        <w:tabs>
          <w:tab w:val="clear" w:pos="720"/>
          <w:tab w:val="left" w:pos="567" w:leader="none"/>
          <w:tab w:val="left" w:pos="3686" w:leader="none"/>
          <w:tab w:val="left" w:pos="5670" w:leader="none"/>
          <w:tab w:val="left" w:pos="6480" w:leader="none"/>
        </w:tabs>
        <w:rPr/>
      </w:pPr>
      <w:r>
        <w:rPr/>
      </w:r>
    </w:p>
    <w:p>
      <w:pPr>
        <w:pStyle w:val="Normal"/>
        <w:tabs>
          <w:tab w:val="clear" w:pos="720"/>
          <w:tab w:val="left" w:pos="567" w:leader="none"/>
          <w:tab w:val="left" w:pos="2268" w:leader="none"/>
          <w:tab w:val="left" w:pos="3686" w:leader="none"/>
          <w:tab w:val="left" w:pos="5670" w:leader="none"/>
          <w:tab w:val="left" w:pos="6480" w:leader="none"/>
        </w:tabs>
        <w:rPr/>
      </w:pPr>
      <w:r>
        <w:rPr/>
        <w:t>WORKING EXPERIENCE:</w:t>
      </w:r>
    </w:p>
    <w:p>
      <w:pPr>
        <w:pStyle w:val="Normal"/>
        <w:tabs>
          <w:tab w:val="clear" w:pos="720"/>
          <w:tab w:val="left" w:pos="2268" w:leader="none"/>
          <w:tab w:val="left" w:pos="3686" w:leader="none"/>
          <w:tab w:val="left" w:pos="5670" w:leader="none"/>
          <w:tab w:val="left" w:pos="6480" w:leader="none"/>
        </w:tabs>
        <w:ind w:hanging="1701" w:start="1701" w:end="0"/>
        <w:rPr/>
      </w:pPr>
      <w:r>
        <w:rPr/>
        <w:t>1993 - present</w:t>
        <w:tab/>
      </w:r>
      <w:r>
        <w:rPr>
          <w:u w:val="single"/>
        </w:rPr>
        <w:t>Motorola Inc.</w:t>
      </w:r>
    </w:p>
    <w:p>
      <w:pPr>
        <w:pStyle w:val="Normal"/>
        <w:tabs>
          <w:tab w:val="clear" w:pos="720"/>
          <w:tab w:val="left" w:pos="2268" w:leader="none"/>
          <w:tab w:val="left" w:pos="3686" w:leader="none"/>
          <w:tab w:val="left" w:pos="5670" w:leader="none"/>
          <w:tab w:val="left" w:pos="6480" w:leader="none"/>
        </w:tabs>
        <w:ind w:hanging="1701" w:start="1701" w:end="0"/>
        <w:rPr/>
      </w:pPr>
      <w:r>
        <w:rPr>
          <w:b/>
        </w:rPr>
        <w:tab/>
        <w:t xml:space="preserve">Director of Regional Government Affairs; </w:t>
      </w:r>
      <w:r>
        <w:rPr/>
        <w:t>Duties include:</w:t>
      </w:r>
    </w:p>
    <w:p>
      <w:pPr>
        <w:pStyle w:val="Normal"/>
        <w:numPr>
          <w:ilvl w:val="0"/>
          <w:numId w:val="4"/>
        </w:numPr>
        <w:tabs>
          <w:tab w:val="clear" w:pos="720"/>
          <w:tab w:val="left" w:pos="1701" w:leader="none"/>
          <w:tab w:val="left" w:pos="2268" w:leader="none"/>
          <w:tab w:val="left" w:pos="5670" w:leader="none"/>
          <w:tab w:val="left" w:pos="6480" w:leader="none"/>
        </w:tabs>
        <w:ind w:hanging="567" w:start="2268" w:end="0"/>
        <w:rPr/>
      </w:pPr>
      <w:r>
        <w:rPr/>
        <w:t>To develop and maintain relationships with key telecommunications Ministerial and regulatory and related officials within the assigned territory</w:t>
      </w:r>
    </w:p>
    <w:p>
      <w:pPr>
        <w:pStyle w:val="Normal"/>
        <w:numPr>
          <w:ilvl w:val="0"/>
          <w:numId w:val="4"/>
        </w:numPr>
        <w:tabs>
          <w:tab w:val="clear" w:pos="720"/>
          <w:tab w:val="left" w:pos="1701" w:leader="none"/>
          <w:tab w:val="left" w:pos="2268" w:leader="none"/>
          <w:tab w:val="left" w:pos="5670" w:leader="none"/>
          <w:tab w:val="left" w:pos="6480" w:leader="none"/>
        </w:tabs>
        <w:ind w:hanging="567" w:start="2268" w:end="0"/>
        <w:rPr/>
      </w:pPr>
      <w:r>
        <w:rPr/>
        <w:t>Participate in the development of Motorola positions and strategies with Motorola</w:t>
      </w:r>
      <w:r>
        <w:rPr>
          <w:rFonts w:cs="Times New Roman" w:ascii="Times New Roman" w:hAnsi="Times New Roman"/>
        </w:rPr>
        <w:t>’</w:t>
      </w:r>
      <w:r>
        <w:rPr/>
        <w:t>s communications groups/sectors with respect to telecom regulatory, spectrum standards issues and to manage their implementations</w:t>
      </w:r>
    </w:p>
    <w:p>
      <w:pPr>
        <w:pStyle w:val="Normal"/>
        <w:numPr>
          <w:ilvl w:val="0"/>
          <w:numId w:val="4"/>
        </w:numPr>
        <w:tabs>
          <w:tab w:val="clear" w:pos="720"/>
          <w:tab w:val="left" w:pos="1701" w:leader="none"/>
          <w:tab w:val="left" w:pos="2268" w:leader="none"/>
          <w:tab w:val="left" w:pos="5670" w:leader="none"/>
          <w:tab w:val="left" w:pos="6480" w:leader="none"/>
        </w:tabs>
        <w:ind w:hanging="567" w:start="2268" w:end="0"/>
        <w:rPr/>
      </w:pPr>
      <w:r>
        <w:rPr/>
        <w:t>Monitor and interpret key telecom regulatory, spectrum standards events so that important issues which may effect Motorola communication businesses are identified and communicated to senior group/sector management</w:t>
      </w:r>
    </w:p>
    <w:p>
      <w:pPr>
        <w:pStyle w:val="Normal"/>
        <w:numPr>
          <w:ilvl w:val="0"/>
          <w:numId w:val="4"/>
        </w:numPr>
        <w:tabs>
          <w:tab w:val="clear" w:pos="720"/>
          <w:tab w:val="left" w:pos="1701" w:leader="none"/>
          <w:tab w:val="left" w:pos="2268" w:leader="none"/>
          <w:tab w:val="left" w:pos="5670" w:leader="none"/>
          <w:tab w:val="left" w:pos="6480" w:leader="none"/>
        </w:tabs>
        <w:ind w:hanging="567" w:start="2268" w:end="0"/>
        <w:rPr/>
      </w:pPr>
      <w:r>
        <w:rPr/>
        <w:t>Provide guidance to Motorola business units to ensure they operate within the existing framework of telecom laws, regulations and customs</w:t>
      </w:r>
    </w:p>
    <w:p>
      <w:pPr>
        <w:pStyle w:val="Normal"/>
        <w:numPr>
          <w:ilvl w:val="0"/>
          <w:numId w:val="4"/>
        </w:numPr>
        <w:tabs>
          <w:tab w:val="clear" w:pos="720"/>
          <w:tab w:val="left" w:pos="1701" w:leader="none"/>
          <w:tab w:val="left" w:pos="2268" w:leader="none"/>
          <w:tab w:val="left" w:pos="5670" w:leader="none"/>
          <w:tab w:val="left" w:pos="6480" w:leader="none"/>
        </w:tabs>
        <w:ind w:hanging="567" w:start="2268" w:end="0"/>
        <w:rPr/>
      </w:pPr>
      <w:r>
        <w:rPr/>
        <w:t>Develop</w:t>
      </w:r>
      <w:r>
        <w:rPr/>
        <w:t xml:space="preserve"> and co-ordinate presentations to educate government officials on telecom regulatory, spectrum and standards matters as well as on Motorola</w:t>
      </w:r>
      <w:r>
        <w:rPr>
          <w:rFonts w:cs="Times New Roman" w:ascii="Times New Roman" w:hAnsi="Times New Roman"/>
        </w:rPr>
        <w:t>’</w:t>
      </w:r>
      <w:r>
        <w:rPr/>
        <w:t>s technology and business with appropriate training/group-sector personnel</w:t>
      </w:r>
    </w:p>
    <w:p>
      <w:pPr>
        <w:pStyle w:val="Heading"/>
        <w:ind w:firstLine="1701" w:end="0"/>
        <w:jc w:val="both"/>
        <w:rPr>
          <w:rFonts w:ascii="Book Antiqua" w:hAnsi="Book Antiqua" w:cs="Book Antiqua"/>
          <w:sz w:val="20"/>
          <w:lang w:val="en-GB"/>
        </w:rPr>
      </w:pPr>
      <w:r>
        <w:rPr>
          <w:rFonts w:cs="Book Antiqua" w:ascii="Book Antiqua" w:hAnsi="Book Antiqua"/>
          <w:sz w:val="20"/>
          <w:lang w:val="en-GB"/>
        </w:rPr>
        <w:t>Asian Contacts–Regional and Country</w:t>
      </w:r>
    </w:p>
    <w:p>
      <w:pPr>
        <w:pStyle w:val="Subtitle"/>
        <w:ind w:start="1701" w:end="0"/>
        <w:jc w:val="both"/>
        <w:rPr>
          <w:rFonts w:ascii="Book Antiqua" w:hAnsi="Book Antiqua" w:cs="Book Antiqua"/>
          <w:sz w:val="20"/>
          <w:lang w:val="en-GB"/>
        </w:rPr>
      </w:pPr>
      <w:r>
        <w:rPr>
          <w:rFonts w:cs="Book Antiqua" w:ascii="Book Antiqua" w:hAnsi="Book Antiqua"/>
          <w:sz w:val="20"/>
          <w:lang w:val="en-GB"/>
        </w:rPr>
        <w:t>(All contacts listed are primary contacts for the purpose of lobby, and corporate representation, not merely acquaintances)</w:t>
      </w:r>
    </w:p>
    <w:p>
      <w:pPr>
        <w:pStyle w:val="Heading1"/>
        <w:ind w:firstLine="1701" w:start="0" w:end="0"/>
        <w:rPr>
          <w:rFonts w:ascii="Book Antiqua" w:hAnsi="Book Antiqua" w:cs="Book Antiqua"/>
          <w:sz w:val="20"/>
          <w:lang w:val="en-GB"/>
        </w:rPr>
      </w:pPr>
      <w:r>
        <w:rPr>
          <w:rFonts w:cs="Book Antiqua" w:ascii="Book Antiqua" w:hAnsi="Book Antiqua"/>
          <w:sz w:val="20"/>
          <w:lang w:val="en-GB"/>
        </w:rPr>
        <w:t>Introduction</w:t>
      </w:r>
    </w:p>
    <w:p>
      <w:pPr>
        <w:pStyle w:val="BodyText"/>
        <w:ind w:start="1701" w:end="0"/>
        <w:rPr>
          <w:rFonts w:ascii="Book Antiqua" w:hAnsi="Book Antiqua" w:cs="Book Antiqua"/>
          <w:sz w:val="20"/>
          <w:lang w:val="en-GB"/>
        </w:rPr>
      </w:pPr>
      <w:r>
        <w:rPr>
          <w:rFonts w:cs="Book Antiqua" w:ascii="Book Antiqua" w:hAnsi="Book Antiqua"/>
          <w:sz w:val="20"/>
          <w:lang w:val="en-GB"/>
        </w:rPr>
        <w:t>From 1993 to early 1995, there were only three Government Relations Directors in the A/P region, including Mr Nunas.  They shared the responsibility for the entire region, taking turns travelling to all of the countries to lobby the telecommunication regulators.  Over time, he has met with nearly every senior telecommunication regulator in the region, except for a few very remote or small counties, (e.g., Nepal and the South Sea Islands) and a few “non-problem countries” (e.g., Australia and New Zealand).  All contacts at this time were Director-General and Director level, with occasional requirement to meet with Ministers responsible for telecommunication.</w:t>
      </w:r>
    </w:p>
    <w:p>
      <w:pPr>
        <w:pStyle w:val="BodyText"/>
        <w:ind w:start="1701" w:end="0"/>
        <w:rPr>
          <w:rFonts w:ascii="Book Antiqua" w:hAnsi="Book Antiqua" w:cs="Book Antiqua"/>
          <w:sz w:val="20"/>
          <w:lang w:val="en-GB"/>
        </w:rPr>
      </w:pPr>
      <w:r>
        <w:rPr>
          <w:rFonts w:cs="Book Antiqua" w:ascii="Book Antiqua" w:hAnsi="Book Antiqua"/>
          <w:sz w:val="20"/>
          <w:lang w:val="en-GB"/>
        </w:rPr>
        <w:t>Since then, they have gradually added more directors; they now have eleven.  As the senior telecommunication regulatory person in the region, it has been his duty to train the new staff and to mentor them thereafter.  He continues to supervise some of them directly.</w:t>
      </w:r>
    </w:p>
    <w:p>
      <w:pPr>
        <w:pStyle w:val="BodyText"/>
        <w:ind w:start="1701" w:end="0"/>
        <w:rPr>
          <w:rFonts w:ascii="Book Antiqua" w:hAnsi="Book Antiqua" w:cs="Book Antiqua"/>
          <w:sz w:val="20"/>
          <w:lang w:val="en-GB"/>
        </w:rPr>
      </w:pPr>
      <w:r>
        <w:rPr>
          <w:rFonts w:cs="Book Antiqua" w:ascii="Book Antiqua" w:hAnsi="Book Antiqua"/>
          <w:sz w:val="20"/>
          <w:lang w:val="en-GB"/>
        </w:rPr>
        <w:t>Much of the contact with government officials in the first few years was for the purpose of lecturing at training seminars for regulators, as Motorola determined that the best approach to the dismal state of telecommunication regulation in many A/P countries at the time was through education; they spent about a third of their time doing this.  Telecommunication regulation is a specialty field in which he was acknowledged to have expert status.  For example, he had lectured at telecommunication seminars in Bangladesh, India, PR China, Thailand, Taiwan and Vietnam.  The topics run the full gamut of telecommunication management from drafting legislation, through policies and standards to enforcing the regulations.</w:t>
      </w:r>
    </w:p>
    <w:p>
      <w:pPr>
        <w:pStyle w:val="Heading1"/>
        <w:ind w:hanging="0" w:start="1701" w:end="0"/>
        <w:rPr>
          <w:rFonts w:ascii="Book Antiqua" w:hAnsi="Book Antiqua" w:cs="Book Antiqua"/>
          <w:sz w:val="20"/>
          <w:lang w:val="en-GB"/>
        </w:rPr>
      </w:pPr>
      <w:r>
        <w:rPr>
          <w:rFonts w:cs="Book Antiqua" w:ascii="Book Antiqua" w:hAnsi="Book Antiqua"/>
          <w:sz w:val="20"/>
          <w:lang w:val="en-GB"/>
        </w:rPr>
        <w:t>Direct Responsibility</w:t>
      </w:r>
    </w:p>
    <w:p>
      <w:pPr>
        <w:pStyle w:val="BodyText"/>
        <w:ind w:start="1701" w:end="0"/>
        <w:rPr>
          <w:rFonts w:ascii="Book Antiqua" w:hAnsi="Book Antiqua" w:cs="Book Antiqua"/>
          <w:sz w:val="20"/>
          <w:lang w:val="en-GB"/>
        </w:rPr>
      </w:pPr>
      <w:r>
        <w:rPr>
          <w:rFonts w:cs="Book Antiqua" w:ascii="Book Antiqua" w:hAnsi="Book Antiqua"/>
          <w:sz w:val="20"/>
          <w:lang w:val="en-GB"/>
        </w:rPr>
        <w:t>In Brunei, Malaysia, Myanmar, Philippines and Singapore he is currently the sole Government Relations (GRO) representative for Motorola.  Contact is with Director and Director-General level employees of the regulatory agencies, primarily telecommunications.  Examples are CMC DG, Dato’ Haji Hod Bin Parman (Malaysia), all three commissioners at the NTC (Philippines) and the Undersecretary of the DOTC (Philippines).</w:t>
      </w:r>
    </w:p>
    <w:p>
      <w:pPr>
        <w:pStyle w:val="BodyText"/>
        <w:ind w:start="1701" w:end="0"/>
        <w:rPr>
          <w:rFonts w:ascii="Book Antiqua" w:hAnsi="Book Antiqua" w:cs="Book Antiqua"/>
          <w:sz w:val="20"/>
          <w:lang w:val="en-GB"/>
        </w:rPr>
      </w:pPr>
      <w:r>
        <w:rPr>
          <w:rFonts w:cs="Book Antiqua" w:ascii="Book Antiqua" w:hAnsi="Book Antiqua"/>
          <w:sz w:val="20"/>
          <w:lang w:val="en-GB"/>
        </w:rPr>
        <w:t>Singapore is a special case, as he was also the primary Corporate contact for AmCham (Motorola’s voting member and member of the Board of Governors).  As the Chair of the AmCham Free Trade Task Force, he has high-level contacts with the Ministry of Industry and Ministry of the Environment, in addition to DG and Director level contacts at the iDA.  Finally, as the Vice President of ATiS (Singapore’s Telecommunication Association) and also as a member of the AmCham IT and Telecom Committee, he had top-level contacts within the telecommunication industry.  Significant work is done with the United States Embassy and the Canadian High Commission, where my contacts are ambassadorial and ambassadorial and their direct reports.</w:t>
      </w:r>
    </w:p>
    <w:p>
      <w:pPr>
        <w:pStyle w:val="BodyText"/>
        <w:ind w:start="1701" w:end="0"/>
        <w:rPr>
          <w:rFonts w:ascii="Book Antiqua" w:hAnsi="Book Antiqua" w:cs="Book Antiqua"/>
          <w:sz w:val="20"/>
          <w:lang w:val="en-GB"/>
        </w:rPr>
      </w:pPr>
      <w:r>
        <w:rPr>
          <w:rFonts w:cs="Book Antiqua" w:ascii="Book Antiqua" w:hAnsi="Book Antiqua"/>
          <w:sz w:val="20"/>
          <w:lang w:val="en-GB"/>
        </w:rPr>
        <w:t>When he was the sole GRO for India, he was directly involved in introducing paging, cellular and trunked radio services there.  He drafted the Indian regulations for the trunked radio service (Motorola often quietly drafts white papers that become official government policies and regulations).  There are many other examples.</w:t>
      </w:r>
    </w:p>
    <w:p>
      <w:pPr>
        <w:pStyle w:val="Heading1"/>
        <w:ind w:firstLine="720" w:start="981" w:end="0"/>
        <w:rPr>
          <w:rFonts w:ascii="Book Antiqua" w:hAnsi="Book Antiqua" w:cs="Book Antiqua"/>
          <w:sz w:val="20"/>
          <w:lang w:val="en-GB"/>
        </w:rPr>
      </w:pPr>
      <w:r>
        <w:rPr>
          <w:rFonts w:cs="Book Antiqua" w:ascii="Book Antiqua" w:hAnsi="Book Antiqua"/>
          <w:sz w:val="20"/>
          <w:lang w:val="en-GB"/>
        </w:rPr>
        <w:t>Responsibility Via Subordinates</w:t>
      </w:r>
    </w:p>
    <w:p>
      <w:pPr>
        <w:pStyle w:val="BodyText"/>
        <w:ind w:start="1701" w:end="0"/>
        <w:rPr>
          <w:rFonts w:ascii="Book Antiqua" w:hAnsi="Book Antiqua" w:cs="Book Antiqua"/>
          <w:sz w:val="20"/>
          <w:lang w:val="en-GB"/>
        </w:rPr>
      </w:pPr>
      <w:r>
        <w:rPr>
          <w:rFonts w:cs="Book Antiqua" w:ascii="Book Antiqua" w:hAnsi="Book Antiqua"/>
          <w:sz w:val="20"/>
          <w:lang w:val="en-GB"/>
        </w:rPr>
        <w:t>He was responsible for Cambodia, Laos, Taiwan, Thailand and Vietnam, via his direct reports.  His role in these countries was mostly supervisory and also he was called in for very high-level discussions and tough cases.  In Thailand, and Taiwan where he was directly responsible until two years ago, he still has Director-General and Director level contacts at the regulatory agencies.</w:t>
      </w:r>
    </w:p>
    <w:p>
      <w:pPr>
        <w:pStyle w:val="Heading1"/>
        <w:ind w:hanging="0" w:start="1701" w:end="0"/>
        <w:rPr>
          <w:rFonts w:ascii="Book Antiqua" w:hAnsi="Book Antiqua" w:cs="Book Antiqua"/>
          <w:sz w:val="20"/>
          <w:lang w:val="en-GB"/>
        </w:rPr>
      </w:pPr>
      <w:r>
        <w:rPr>
          <w:rFonts w:cs="Book Antiqua" w:ascii="Book Antiqua" w:hAnsi="Book Antiqua"/>
          <w:sz w:val="20"/>
          <w:lang w:val="en-GB"/>
        </w:rPr>
        <w:t>Program Responsibility</w:t>
      </w:r>
    </w:p>
    <w:p>
      <w:pPr>
        <w:pStyle w:val="BodyText"/>
        <w:ind w:start="1701" w:end="0"/>
        <w:rPr>
          <w:rFonts w:ascii="Book Antiqua" w:hAnsi="Book Antiqua" w:cs="Book Antiqua"/>
          <w:sz w:val="20"/>
          <w:lang w:val="en-GB"/>
        </w:rPr>
      </w:pPr>
      <w:r>
        <w:rPr>
          <w:rFonts w:cs="Book Antiqua" w:ascii="Book Antiqua" w:hAnsi="Book Antiqua"/>
          <w:sz w:val="20"/>
          <w:lang w:val="en-GB"/>
        </w:rPr>
        <w:t>The remaining countries in Asia/Pacific are the direct responsibility of others.  His role was to lead telecommunication regulation projects that the others undertake.  Generally in these countries he was brought in only as a troubleshooter or to handle very difficult cases.  For example, he presented Motorola’s corporate vision on third generation cellular to OFTA (Hong Kong) and responded to their call for comments from industry.  In most cases, he trained the staff and in some cases, such as Korea, he continued to act as mentor.</w:t>
      </w:r>
    </w:p>
    <w:p>
      <w:pPr>
        <w:pStyle w:val="BodyText"/>
        <w:ind w:start="1701" w:end="0"/>
        <w:rPr>
          <w:rFonts w:ascii="Book Antiqua" w:hAnsi="Book Antiqua" w:cs="Book Antiqua"/>
          <w:sz w:val="20"/>
          <w:lang w:val="en-GB"/>
        </w:rPr>
      </w:pPr>
      <w:r>
        <w:rPr>
          <w:rFonts w:cs="Book Antiqua" w:ascii="Book Antiqua" w:hAnsi="Book Antiqua"/>
          <w:sz w:val="20"/>
          <w:lang w:val="en-GB"/>
        </w:rPr>
        <w:t>Japan is a special case because of the importance of longstanding personal relationships and its historical closed-door policy.  In Japan, until recently, foreign experts were rarely sent in to lobby.  Rather, Motorola maintain a small staff there (one person for standards, and one for economics and business development), through which most of the work is done.  The team from Japan meets with the rest of the A/P team for annual planning and for periodic reviews. Although fully integrated into the A/P region internally, it is deemed important for cultural reasons to treat Japan externally as a peer, rather than a subordinate.  The change of government in Japan may change this paradigm, but not likely very quickly, especially where relationships with civil servants are concerned. Korea, although totally integrated, is somewhat like Japan, because of the strong adherence to Confucian values.</w:t>
      </w:r>
    </w:p>
    <w:p>
      <w:pPr>
        <w:pStyle w:val="BodyText"/>
        <w:ind w:start="1701" w:end="0"/>
        <w:rPr>
          <w:rFonts w:ascii="Book Antiqua" w:hAnsi="Book Antiqua" w:cs="Book Antiqua"/>
          <w:sz w:val="20"/>
          <w:lang w:val="en-GB"/>
        </w:rPr>
      </w:pPr>
      <w:r>
        <w:rPr>
          <w:rFonts w:cs="Book Antiqua" w:ascii="Book Antiqua" w:hAnsi="Book Antiqua"/>
          <w:sz w:val="20"/>
          <w:lang w:val="en-GB"/>
        </w:rPr>
        <w:t>As Motorola’s ambassador to the Asia Pacific Telecommunity (APT is the regional telecommunication organization, composed of regulators, operators and corporations), Maurice co-ordinated Motorola’s official proposals and positions and often made presentations at seminars and workshops.  Examples are a presentation on third generation cellular regulation and the need to completely re-think the way telecommunication regulation is accomplished in the converged world of All-IP Networking.  He was personally acquainted with the APT management at the highest levels and is well regarded by them.</w:t>
      </w:r>
    </w:p>
    <w:p>
      <w:pPr>
        <w:pStyle w:val="BodyText"/>
        <w:ind w:start="1701" w:end="0"/>
        <w:rPr>
          <w:rFonts w:ascii="Book Antiqua" w:hAnsi="Book Antiqua" w:cs="Book Antiqua"/>
          <w:sz w:val="20"/>
          <w:lang w:val="en-GB"/>
        </w:rPr>
      </w:pPr>
      <w:r>
        <w:rPr>
          <w:rFonts w:cs="Book Antiqua" w:ascii="Book Antiqua" w:hAnsi="Book Antiqua"/>
          <w:sz w:val="20"/>
          <w:lang w:val="en-GB"/>
        </w:rPr>
        <w:t>He often took the lead role in determining Motorola’s official proposals and positions.  For example, he was the author of Motorola’s regional positions on auctions and spectrum pricing.  He introduced Bluetooth to the regulators in Asia, mostly by personal presentations to senior regulators, on behalf of both Motorola and the entire Bluetooth SIG.  He co-ordinated and presented Motorola’s proposals and positions on third generation cellular in Hong Kong, Malaysia and Singapore to the Directors General and other staff at OFTA, CMC and the iDA respectively. These proposals became the basis for all Motorola A/P regional comments to regulators.  He co-authored and presented Motorola’s official comments to the iDA (Singapore) on their call for the Broadband Multimedia (LMDS) service.  Current projects of this sort, which he will present to all the telecommunication regulators at the APT, include the need to restructure the ITU and the need for an Asia/Pacific co-ordinated approach to Auctions and Spectrum Pricing.</w:t>
      </w:r>
    </w:p>
    <w:p>
      <w:pPr>
        <w:pStyle w:val="Normal"/>
        <w:tabs>
          <w:tab w:val="clear" w:pos="720"/>
          <w:tab w:val="left" w:pos="1701" w:leader="none"/>
          <w:tab w:val="left" w:pos="5670" w:leader="none"/>
          <w:tab w:val="left" w:pos="6480" w:leader="none"/>
        </w:tabs>
        <w:rPr>
          <w:rFonts w:ascii="Book Antiqua" w:hAnsi="Book Antiqua" w:cs="Book Antiqua"/>
          <w:sz w:val="20"/>
          <w:lang w:val="en-GB"/>
        </w:rPr>
      </w:pPr>
      <w:r>
        <w:rPr>
          <w:rFonts w:cs="Book Antiqua" w:ascii="Book Antiqua" w:hAnsi="Book Antiqua"/>
          <w:sz w:val="20"/>
          <w:lang w:val="en-GB"/>
        </w:rPr>
      </w:r>
    </w:p>
    <w:p>
      <w:pPr>
        <w:pStyle w:val="Normal"/>
        <w:tabs>
          <w:tab w:val="clear" w:pos="720"/>
          <w:tab w:val="left" w:pos="2268" w:leader="none"/>
          <w:tab w:val="left" w:pos="3686" w:leader="none"/>
          <w:tab w:val="left" w:pos="5670" w:leader="none"/>
          <w:tab w:val="left" w:pos="6480" w:leader="none"/>
        </w:tabs>
        <w:ind w:hanging="1701" w:start="1701" w:end="0"/>
        <w:rPr/>
      </w:pPr>
      <w:r>
        <w:rPr/>
        <w:tab/>
      </w:r>
      <w:r>
        <w:rPr>
          <w:u w:val="single"/>
        </w:rPr>
        <w:t>Government of Canada</w:t>
      </w:r>
    </w:p>
    <w:p>
      <w:pPr>
        <w:pStyle w:val="Normal"/>
        <w:tabs>
          <w:tab w:val="clear" w:pos="720"/>
          <w:tab w:val="left" w:pos="2268" w:leader="none"/>
          <w:tab w:val="left" w:pos="3686" w:leader="none"/>
          <w:tab w:val="left" w:pos="5670" w:leader="none"/>
          <w:tab w:val="left" w:pos="6480" w:leader="none"/>
        </w:tabs>
        <w:ind w:hanging="1701" w:start="1701" w:end="0"/>
        <w:rPr/>
      </w:pPr>
      <w:r>
        <w:rPr/>
        <w:t>1988 - 1993</w:t>
      </w:r>
      <w:r>
        <w:rPr>
          <w:b/>
        </w:rPr>
        <w:tab/>
        <w:t>Director of National Spectrum Management Operations</w:t>
      </w:r>
    </w:p>
    <w:p>
      <w:pPr>
        <w:pStyle w:val="Career"/>
        <w:numPr>
          <w:ilvl w:val="0"/>
          <w:numId w:val="0"/>
        </w:numPr>
        <w:tabs>
          <w:tab w:val="clear" w:pos="2268"/>
          <w:tab w:val="clear" w:pos="3686"/>
          <w:tab w:val="left" w:pos="1701" w:leader="none"/>
          <w:tab w:val="left" w:pos="5670" w:leader="none"/>
          <w:tab w:val="left" w:pos="6480" w:leader="none"/>
        </w:tabs>
        <w:ind w:hanging="1695" w:start="1695" w:end="0"/>
        <w:rPr/>
      </w:pPr>
      <w:r>
        <w:rPr/>
        <w:t>1981 – 1988</w:t>
        <w:tab/>
      </w:r>
      <w:r>
        <w:rPr>
          <w:b/>
          <w:bCs/>
        </w:rPr>
        <w:t>Manager of National Spectrum Management Policies and Procedures</w:t>
      </w:r>
    </w:p>
    <w:p>
      <w:pPr>
        <w:pStyle w:val="Normal"/>
        <w:tabs>
          <w:tab w:val="clear" w:pos="720"/>
          <w:tab w:val="left" w:pos="2268" w:leader="none"/>
          <w:tab w:val="left" w:pos="3686" w:leader="none"/>
          <w:tab w:val="left" w:pos="5670" w:leader="none"/>
          <w:tab w:val="left" w:pos="6480" w:leader="none"/>
        </w:tabs>
        <w:ind w:hanging="1701" w:start="1701" w:end="0"/>
        <w:rPr/>
      </w:pPr>
      <w:r>
        <w:rPr/>
        <w:t>1976 - 1981</w:t>
        <w:tab/>
      </w:r>
      <w:r>
        <w:rPr>
          <w:b/>
        </w:rPr>
        <w:t>Superintendent of Enforcement</w:t>
      </w:r>
    </w:p>
    <w:p>
      <w:pPr>
        <w:pStyle w:val="Normal"/>
        <w:tabs>
          <w:tab w:val="clear" w:pos="720"/>
          <w:tab w:val="left" w:pos="1701" w:leader="none"/>
          <w:tab w:val="left" w:pos="1985" w:leader="none"/>
        </w:tabs>
        <w:rPr/>
      </w:pPr>
      <w:r>
        <w:rPr/>
        <w:t>1968 – 1976</w:t>
        <w:tab/>
      </w:r>
      <w:r>
        <w:rPr>
          <w:b/>
          <w:bCs/>
        </w:rPr>
        <w:t>Various supervisory and working level positions</w:t>
      </w:r>
    </w:p>
    <w:p>
      <w:pPr>
        <w:pStyle w:val="BodyText"/>
        <w:ind w:start="1701" w:end="0"/>
        <w:rPr>
          <w:rFonts w:ascii="Book Antiqua" w:hAnsi="Book Antiqua" w:cs="Book Antiqua"/>
          <w:sz w:val="20"/>
          <w:lang w:val="en-GB"/>
        </w:rPr>
      </w:pPr>
      <w:r>
        <w:rPr>
          <w:rFonts w:cs="Book Antiqua" w:ascii="Book Antiqua" w:hAnsi="Book Antiqua"/>
          <w:sz w:val="20"/>
          <w:lang w:val="en-GB"/>
        </w:rPr>
        <w:t>As the Director of Operations at the Canadian Department of Communications (now part of the Department of Industry), he was responsible for the management of the licensing and control programs of the Canadian telecommunication regulator.  The duties included:</w:t>
      </w:r>
    </w:p>
    <w:p>
      <w:pPr>
        <w:pStyle w:val="BodyText"/>
        <w:ind w:start="1701" w:end="0"/>
        <w:rPr>
          <w:rFonts w:ascii="Book Antiqua" w:hAnsi="Book Antiqua" w:cs="Book Antiqua"/>
          <w:sz w:val="20"/>
          <w:lang w:val="en-GB"/>
        </w:rPr>
      </w:pPr>
      <w:r>
        <w:rPr>
          <w:rFonts w:cs="Book Antiqua" w:ascii="Book Antiqua" w:hAnsi="Book Antiqua"/>
          <w:sz w:val="20"/>
          <w:lang w:val="en-GB"/>
        </w:rPr>
        <w:t>Regulatory: His Directorate was responsible for drafting the Radio Regulations for the Minister, preparing the associated consultation documents for the Canada Gazette (similar to the FCC Federal Register), and analyzing the public comments.  He had a staff of about five persons performing this function.</w:t>
      </w:r>
    </w:p>
    <w:p>
      <w:pPr>
        <w:pStyle w:val="BodyText"/>
        <w:ind w:start="1701" w:end="0"/>
        <w:rPr>
          <w:rFonts w:ascii="Book Antiqua" w:hAnsi="Book Antiqua" w:cs="Book Antiqua"/>
          <w:sz w:val="20"/>
          <w:lang w:val="en-GB"/>
        </w:rPr>
      </w:pPr>
      <w:r>
        <w:rPr>
          <w:rFonts w:cs="Book Antiqua" w:ascii="Book Antiqua" w:hAnsi="Book Antiqua"/>
          <w:sz w:val="20"/>
          <w:lang w:val="en-GB"/>
        </w:rPr>
        <w:t>Operational Policy:  His Directorate conceived and produced the guidelines and policies used by applicants for licences and those used by the licensees.  These included policy documents for each service, procedural documents for clients and documents for internal use.  These documents today remain the cornerstone of Canada’s spectrum management operations unit and can be found on the Department’s web site.  The 30 regional and district offices and the monitoring stations followed the policies and procedures produced.  Producing these documents called for an uncommon amount of internal and external consultation and negotiation.  He had a staff of about twenty persons performing this function.</w:t>
      </w:r>
    </w:p>
    <w:p>
      <w:pPr>
        <w:pStyle w:val="BodyText"/>
        <w:ind w:start="1701" w:end="0"/>
        <w:rPr>
          <w:rFonts w:ascii="Book Antiqua" w:hAnsi="Book Antiqua" w:cs="Book Antiqua"/>
          <w:sz w:val="20"/>
          <w:lang w:val="en-GB"/>
        </w:rPr>
      </w:pPr>
      <w:r>
        <w:rPr>
          <w:rFonts w:cs="Book Antiqua" w:ascii="Book Antiqua" w:hAnsi="Book Antiqua"/>
          <w:sz w:val="20"/>
          <w:lang w:val="en-GB"/>
        </w:rPr>
        <w:t>Authorization: His Directorate was the focal point for licensing national and federal systems, including Canadian satellites and armed forces stations (in Canada, the governments at all levels, including the armed forces apply for licences and pay fees).  It was also responsible for bilateral and multilateral co-ordination of frequencies and satellite orbital slots (mostly with the USA; also with Russia, Mexico and Norway).  This work requires detailed technical analysis and detailed record keeping.  He had a staff of approximately fifteen persons performing this function.</w:t>
      </w:r>
    </w:p>
    <w:p>
      <w:pPr>
        <w:pStyle w:val="BodyText"/>
        <w:ind w:start="1701" w:end="0"/>
        <w:rPr>
          <w:rFonts w:ascii="Book Antiqua" w:hAnsi="Book Antiqua" w:cs="Book Antiqua"/>
          <w:sz w:val="20"/>
          <w:lang w:val="en-GB"/>
        </w:rPr>
      </w:pPr>
      <w:r>
        <w:rPr>
          <w:rFonts w:cs="Book Antiqua" w:ascii="Book Antiqua" w:hAnsi="Book Antiqua"/>
          <w:sz w:val="20"/>
          <w:lang w:val="en-GB"/>
        </w:rPr>
        <w:t>International Negotiations: As the Director of Operations, he was always on the team responsible for negotiating bilateral, multilateral and international agreements.  These include negotiating band-sharing arrangements with the USA, lobbying other administrations to agree to common positions on a regional basis (e.g., CITEL), and in 1992 he was the Principal Spokesman—Regulatory on the Canadian Delegation to the World Administrative Radio Conference (now called WRC).  He won two awards for the WARC work, one from the Deputy Minister, as part of a team, and an individual award from the Canadian Association of Broadcasters.</w:t>
      </w:r>
    </w:p>
    <w:p>
      <w:pPr>
        <w:pStyle w:val="BodyText"/>
        <w:spacing w:before="0" w:after="120"/>
        <w:ind w:start="1701" w:end="0"/>
        <w:rPr>
          <w:rFonts w:ascii="Book Antiqua" w:hAnsi="Book Antiqua" w:cs="Book Antiqua"/>
          <w:sz w:val="20"/>
          <w:lang w:val="en-GB"/>
        </w:rPr>
      </w:pPr>
      <w:r>
        <w:rPr>
          <w:rFonts w:cs="Book Antiqua" w:ascii="Book Antiqua" w:hAnsi="Book Antiqua"/>
          <w:sz w:val="20"/>
          <w:lang w:val="en-GB"/>
        </w:rPr>
        <w:t>His Operations Directorate was mostly staffed with professionals, including Technologists, Electrical Engineers and Lawyers.  His function in DOC Headquarters was as an Executive member of the Canadian civil service (EX-01).  However, he came up through the ranks during a career spanning over 25 years and was capable of performing nearly all of the functions personally.</w:t>
      </w:r>
    </w:p>
    <w:sectPr>
      <w:headerReference w:type="default" r:id="rId2"/>
      <w:headerReference w:type="first" r:id="rId3"/>
      <w:type w:val="nextPage"/>
      <w:pgSz w:w="11906" w:h="16838"/>
      <w:pgMar w:left="2041" w:right="1134" w:gutter="0" w:header="1134"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New York">
    <w:altName w:val="Times New Roman"/>
    <w:charset w:val="00" w:characterSet="windows-1252"/>
    <w:family w:val="roman"/>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Palatino;Book Antiqua" w:ascii="Palatino;Book Antiqua" w:hAnsi="Palatino;Book Antiqua"/>
        <w:i/>
        <w:sz w:val="24"/>
      </w:rPr>
      <w:t>The</w:t>
    </w:r>
    <w:r>
      <w:rPr>
        <w:rFonts w:cs="Palatino;Book Antiqua" w:ascii="Palatino;Book Antiqua" w:hAnsi="Palatino;Book Antiqua"/>
        <w:sz w:val="24"/>
      </w:rPr>
      <w:t xml:space="preserve"> ASIA </w:t>
    </w:r>
    <w:r>
      <w:rPr>
        <w:rFonts w:cs="Palatino;Book Antiqua" w:ascii="Palatino;Book Antiqua" w:hAnsi="Palatino;Book Antiqua"/>
        <w:i/>
        <w:sz w:val="24"/>
      </w:rPr>
      <w:t>Partnership</w:t>
    </w:r>
  </w:p>
  <w:p>
    <w:pPr>
      <w:pStyle w:val="Header"/>
      <w:rPr>
        <w:rFonts w:ascii="Palatino;Book Antiqua" w:hAnsi="Palatino;Book Antiqua" w:cs="Palatino;Book Antiqua"/>
        <w:i/>
        <w:i/>
        <w:sz w:val="24"/>
      </w:rPr>
    </w:pPr>
    <w:r>
      <w:rPr>
        <w:rFonts w:cs="Palatino;Book Antiqua" w:ascii="Palatino;Book Antiqua" w:hAnsi="Palatino;Book Antiqua"/>
        <w:i/>
        <w:sz w:val="24"/>
      </w:rPr>
    </w:r>
  </w:p>
  <w:p>
    <w:pPr>
      <w:pStyle w:val="Header"/>
      <w:rPr>
        <w:rFonts w:ascii="Palatino;Book Antiqua" w:hAnsi="Palatino;Book Antiqua" w:cs="Palatino;Book Antiqua"/>
        <w:i/>
        <w:i/>
        <w:sz w:val="18"/>
      </w:rPr>
    </w:pPr>
    <w:r>
      <w:rPr>
        <w:rFonts w:cs="Palatino;Book Antiqua" w:ascii="Palatino;Book Antiqua" w:hAnsi="Palatino;Book Antiqua"/>
        <w:i/>
        <w:sz w:val="18"/>
      </w:rPr>
      <w:t>Candidate Biography:  Mr Maurice Nunas</w:t>
    </w:r>
  </w:p>
  <w:p>
    <w:pPr>
      <w:pStyle w:val="Header"/>
      <w:rPr>
        <w:rStyle w:val="PageNumber"/>
        <w:rFonts w:ascii="Palatino;Book Antiqua" w:hAnsi="Palatino;Book Antiqua" w:cs="Palatino;Book Antiqua"/>
        <w:i/>
        <w:i/>
      </w:rPr>
    </w:pPr>
    <w:r>
      <w:rPr>
        <w:rFonts w:cs="Palatino;Book Antiqua" w:ascii="Palatino;Book Antiqua" w:hAnsi="Palatino;Book Antiqua"/>
        <w:i/>
        <w:sz w:val="18"/>
      </w:rPr>
      <w:t xml:space="preserve">Page:  </w:t>
    </w:r>
    <w:r>
      <w:rPr>
        <w:rStyle w:val="PageNumber"/>
        <w:rFonts w:cs="Palatino;Book Antiqua" w:ascii="Palatino;Book Antiqua" w:hAnsi="Palatino;Book Antiqua"/>
        <w:i/>
        <w:sz w:val="18"/>
      </w:rPr>
      <w:fldChar w:fldCharType="begin"/>
    </w:r>
    <w:r>
      <w:rPr>
        <w:rStyle w:val="PageNumber"/>
        <w:sz w:val="18"/>
        <w:i/>
        <w:rFonts w:cs="Palatino;Book Antiqua" w:ascii="Palatino;Book Antiqua" w:hAnsi="Palatino;Book Antiqua"/>
      </w:rPr>
      <w:instrText xml:space="preserve"> PAGE </w:instrText>
    </w:r>
    <w:r>
      <w:rPr>
        <w:rStyle w:val="PageNumber"/>
        <w:sz w:val="18"/>
        <w:i/>
        <w:rFonts w:cs="Palatino;Book Antiqua" w:ascii="Palatino;Book Antiqua" w:hAnsi="Palatino;Book Antiqua"/>
      </w:rPr>
      <w:fldChar w:fldCharType="separate"/>
    </w:r>
    <w:r>
      <w:rPr>
        <w:rStyle w:val="PageNumber"/>
        <w:sz w:val="18"/>
        <w:i/>
        <w:rFonts w:cs="Palatino;Book Antiqua" w:ascii="Palatino;Book Antiqua" w:hAnsi="Palatino;Book Antiqua"/>
      </w:rPr>
      <w:t>5</w:t>
    </w:r>
    <w:r>
      <w:rPr>
        <w:rStyle w:val="PageNumber"/>
        <w:sz w:val="18"/>
        <w:i/>
        <w:rFonts w:cs="Palatino;Book Antiqua" w:ascii="Palatino;Book Antiqua" w:hAnsi="Palatino;Book Antiqua"/>
      </w:rPr>
      <w:fldChar w:fldCharType="end"/>
    </w:r>
  </w:p>
  <w:p>
    <w:pPr>
      <w:pStyle w:val="Header"/>
      <w:rPr>
        <w:rStyle w:val="PageNumber"/>
        <w:rFonts w:ascii="Palatino;Book Antiqua" w:hAnsi="Palatino;Book Antiqua" w:cs="Palatino;Book Antiqua"/>
        <w:i/>
        <w:i/>
      </w:rPr>
    </w:pPr>
    <w:r>
      <w:rPr/>
    </w:r>
  </w:p>
  <w:p>
    <w:pPr>
      <w:pStyle w:val="Header"/>
      <w:rPr>
        <w:rStyle w:val="PageNumber"/>
        <w:rFonts w:ascii="Palatino;Book Antiqua" w:hAnsi="Palatino;Book Antiqua" w:cs="Palatino;Book Antiqu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none"/>
      <w:suff w:val="nothing"/>
      <w:lvlText w:val=""/>
      <w:lvlJc w:val="start"/>
      <w:pPr>
        <w:tabs>
          <w:tab w:val="num" w:pos="2098"/>
        </w:tabs>
        <w:ind w:start="2098" w:hanging="397"/>
      </w:pPr>
      <w:rPr>
        <w:rFonts w:ascii="Symbol" w:hAnsi="Symbol" w:cs="Symbol"/>
        <w:color w:val="auto"/>
      </w:rPr>
    </w:lvl>
  </w:abstractNum>
  <w:abstractNum w:abstractNumId="4">
    <w:lvl w:ilvl="0">
      <w:start w:val="1"/>
      <w:numFmt w:val="bullet"/>
      <w:lvlText w:val=""/>
      <w:lvlJc w:val="start"/>
      <w:pPr>
        <w:tabs>
          <w:tab w:val="num" w:pos="2415"/>
        </w:tabs>
        <w:ind w:start="2415" w:hanging="360"/>
      </w:pPr>
      <w:rPr>
        <w:rFonts w:ascii="Symbol" w:hAnsi="Symbol" w:cs="Symbol" w:hint="default"/>
      </w:rPr>
    </w:lvl>
  </w:abstractNum>
  <w:abstractNum w:abstractNumId="5">
    <w:lvl w:ilvl="0">
      <w:numFmt w:val="none"/>
      <w:suff w:val="nothing"/>
      <w:lvlText w:val=""/>
      <w:lvlJc w:val="start"/>
      <w:pPr>
        <w:tabs>
          <w:tab w:val="num" w:pos="397"/>
        </w:tabs>
        <w:ind w:start="397" w:hanging="397"/>
      </w:pPr>
      <w:rPr>
        <w:rFonts w:ascii="Symbol" w:hAnsi="Symbol" w:cs="Symbol"/>
        <w:color w:val="auto"/>
      </w:rPr>
    </w:lvl>
  </w:abstractNum>
  <w:abstractNum w:abstractNumId="6">
    <w:lvl w:ilvl="0">
      <w:start w:val="1"/>
      <w:numFmt w:val="bullet"/>
      <w:lvlText w:val=""/>
      <w:lvlJc w:val="start"/>
      <w:pPr>
        <w:tabs>
          <w:tab w:val="num" w:pos="757"/>
        </w:tabs>
        <w:ind w:start="737" w:hanging="34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Palatino;Book Antiqua" w:hAnsi="Palatino;Book Antiqua" w:eastAsia="Times New Roman" w:cs="Palatino;Book Antiqua"/>
      <w:color w:val="auto"/>
      <w:sz w:val="20"/>
      <w:szCs w:val="20"/>
      <w:lang w:val="en-AU" w:bidi="ar-SA" w:eastAsia="zh-CN"/>
    </w:rPr>
  </w:style>
  <w:style w:type="paragraph" w:styleId="Heading1">
    <w:name w:val="heading 1"/>
    <w:basedOn w:val="Normal"/>
    <w:next w:val="Normal"/>
    <w:qFormat/>
    <w:pPr>
      <w:keepNext w:val="true"/>
      <w:numPr>
        <w:ilvl w:val="0"/>
        <w:numId w:val="1"/>
      </w:numPr>
      <w:overflowPunct w:val="false"/>
      <w:autoSpaceDE w:val="false"/>
      <w:spacing w:before="240" w:after="60"/>
      <w:jc w:val="start"/>
      <w:outlineLvl w:val="0"/>
    </w:pPr>
    <w:rPr>
      <w:rFonts w:ascii="Arial" w:hAnsi="Arial" w:eastAsia="Arial Unicode MS" w:cs="Arial"/>
      <w:b/>
      <w:bCs/>
      <w:kern w:val="2"/>
      <w:sz w:val="32"/>
      <w:szCs w:val="32"/>
      <w:lang w:val="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u w:val="single"/>
    </w:rPr>
  </w:style>
  <w:style w:type="paragraph" w:styleId="Heading9">
    <w:name w:val="heading 9"/>
    <w:basedOn w:val="Normal"/>
    <w:next w:val="Normal"/>
    <w:qFormat/>
    <w:pPr>
      <w:keepNext w:val="true"/>
      <w:numPr>
        <w:ilvl w:val="8"/>
        <w:numId w:val="1"/>
      </w:numPr>
      <w:outlineLvl w:val="8"/>
    </w:pPr>
    <w:rPr>
      <w:rFonts w:ascii="Arial" w:hAnsi="Arial" w:cs="Arial"/>
      <w:b/>
      <w:lang w:val="en-GB"/>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auto"/>
    </w:rPr>
  </w:style>
  <w:style w:type="character" w:styleId="WW8Num12z0">
    <w:name w:val="WW8Num12z0"/>
    <w:qFormat/>
    <w:rPr>
      <w:rFonts w:ascii="Wingdings" w:hAnsi="Wingdings" w:cs="Wingdings"/>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overflowPunct w:val="false"/>
      <w:autoSpaceDE w:val="false"/>
      <w:spacing w:before="240" w:after="60"/>
      <w:jc w:val="center"/>
      <w:outlineLvl w:val="0"/>
    </w:pPr>
    <w:rPr>
      <w:rFonts w:ascii="Arial" w:hAnsi="Arial" w:cs="Arial"/>
      <w:b/>
      <w:bCs/>
      <w:kern w:val="2"/>
      <w:sz w:val="32"/>
      <w:szCs w:val="32"/>
      <w:lang w:val="en-US"/>
    </w:rPr>
  </w:style>
  <w:style w:type="paragraph" w:styleId="BodyText">
    <w:name w:val="Body Text"/>
    <w:basedOn w:val="Normal"/>
    <w:pPr>
      <w:overflowPunct w:val="false"/>
      <w:autoSpaceDE w:val="false"/>
      <w:spacing w:before="0" w:after="120"/>
      <w:jc w:val="start"/>
    </w:pPr>
    <w:rPr>
      <w:rFonts w:ascii="New York;Times New Roman" w:hAnsi="New York;Times New Roman" w:cs="New York;Times New Roman"/>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lineRule="auto" w:line="240"/>
    </w:pPr>
    <w:rPr>
      <w:rFonts w:ascii="Times New Roman" w:hAnsi="Times New Roman" w:cs="Times New Roman"/>
    </w:rPr>
  </w:style>
  <w:style w:type="paragraph" w:styleId="Footer">
    <w:name w:val="footer"/>
    <w:basedOn w:val="Normal"/>
    <w:pPr>
      <w:tabs>
        <w:tab w:val="clear" w:pos="720"/>
        <w:tab w:val="center" w:pos="4153" w:leader="none"/>
        <w:tab w:val="right" w:pos="8306" w:leader="none"/>
      </w:tabs>
    </w:pPr>
    <w:rPr/>
  </w:style>
  <w:style w:type="paragraph" w:styleId="basicroundbullet">
    <w:name w:val="basic round bullet"/>
    <w:basedOn w:val="Normal"/>
    <w:qFormat/>
    <w:pPr>
      <w:numPr>
        <w:ilvl w:val="0"/>
        <w:numId w:val="5"/>
      </w:numPr>
      <w:tabs>
        <w:tab w:val="clear" w:pos="720"/>
        <w:tab w:val="left" w:pos="2268" w:leader="none"/>
        <w:tab w:val="left" w:pos="3686" w:leader="none"/>
        <w:tab w:val="left" w:pos="5670" w:leader="none"/>
        <w:tab w:val="left" w:pos="6480" w:leader="none"/>
      </w:tabs>
    </w:pPr>
    <w:rPr/>
  </w:style>
  <w:style w:type="paragraph" w:styleId="BodyTextIndent2">
    <w:name w:val="Body Text Indent 2"/>
    <w:basedOn w:val="Normal"/>
    <w:qFormat/>
    <w:pPr>
      <w:ind w:hanging="2880" w:start="2880" w:end="0"/>
    </w:pPr>
    <w:rPr/>
  </w:style>
  <w:style w:type="paragraph" w:styleId="Career">
    <w:name w:val="Career"/>
    <w:basedOn w:val="Normal"/>
    <w:qFormat/>
    <w:pPr>
      <w:numPr>
        <w:ilvl w:val="0"/>
        <w:numId w:val="3"/>
      </w:numPr>
      <w:tabs>
        <w:tab w:val="clear" w:pos="720"/>
        <w:tab w:val="left" w:pos="2268" w:leader="none"/>
        <w:tab w:val="left" w:pos="3686" w:leader="none"/>
        <w:tab w:val="left" w:pos="5670" w:leader="none"/>
        <w:tab w:val="left" w:pos="6480" w:leader="none"/>
      </w:tabs>
    </w:pPr>
    <w:rPr/>
  </w:style>
  <w:style w:type="paragraph" w:styleId="asquare">
    <w:name w:val="a_square"/>
    <w:basedOn w:val="Normal"/>
    <w:qFormat/>
    <w:pPr>
      <w:numPr>
        <w:ilvl w:val="0"/>
        <w:numId w:val="6"/>
      </w:numPr>
      <w:tabs>
        <w:tab w:val="clear" w:pos="720"/>
        <w:tab w:val="left" w:pos="2268" w:leader="none"/>
        <w:tab w:val="left" w:pos="2628" w:leader="none"/>
        <w:tab w:val="left" w:pos="3686" w:leader="none"/>
        <w:tab w:val="left" w:pos="5670" w:leader="none"/>
        <w:tab w:val="left" w:pos="6480" w:leader="none"/>
      </w:tabs>
      <w:ind w:hanging="0" w:start="2608" w:end="0"/>
    </w:pPr>
    <w:rPr/>
  </w:style>
  <w:style w:type="paragraph" w:styleId="joheading1">
    <w:name w:val="jo heading 1"/>
    <w:basedOn w:val="Heading2"/>
    <w:qFormat/>
    <w:pPr>
      <w:numPr>
        <w:ilvl w:val="0"/>
        <w:numId w:val="0"/>
      </w:numPr>
      <w:spacing w:before="0" w:after="0"/>
      <w:ind w:hanging="0" w:start="0" w:end="658"/>
      <w:outlineLvl w:val="9"/>
    </w:pPr>
    <w:rPr>
      <w:rFonts w:ascii="Palatino;Book Antiqua" w:hAnsi="Palatino;Book Antiqua" w:cs="Palatino;Book Antiqua"/>
      <w:i w:val="false"/>
      <w:sz w:val="20"/>
    </w:rPr>
  </w:style>
  <w:style w:type="paragraph" w:styleId="asquare2">
    <w:name w:val="a_square 2"/>
    <w:basedOn w:val="asquare"/>
    <w:qFormat/>
    <w:pPr>
      <w:tabs>
        <w:tab w:val="clear" w:pos="2628"/>
        <w:tab w:val="left" w:pos="1080" w:leader="none"/>
        <w:tab w:val="left" w:pos="2268" w:leader="none"/>
        <w:tab w:val="left" w:pos="3686" w:leader="none"/>
        <w:tab w:val="left" w:pos="5670" w:leader="none"/>
        <w:tab w:val="left" w:pos="6480" w:leader="none"/>
      </w:tabs>
      <w:ind w:hanging="0" w:start="1060" w:end="0"/>
    </w:pPr>
    <w:rPr/>
  </w:style>
  <w:style w:type="paragraph" w:styleId="ListBullet">
    <w:name w:val="List Bullet"/>
    <w:basedOn w:val="Normal"/>
    <w:qFormat/>
    <w:pPr>
      <w:numPr>
        <w:ilvl w:val="0"/>
        <w:numId w:val="2"/>
      </w:numPr>
      <w:overflowPunct w:val="false"/>
      <w:autoSpaceDE w:val="false"/>
      <w:jc w:val="start"/>
      <w:textAlignment w:val="baseline"/>
    </w:pPr>
    <w:rPr>
      <w:rFonts w:ascii="New York;Times New Roman" w:hAnsi="New York;Times New Roman" w:cs="New York;Times New Roman"/>
      <w:sz w:val="24"/>
      <w:lang w:val="en-US"/>
    </w:rPr>
  </w:style>
  <w:style w:type="paragraph" w:styleId="Subtitle">
    <w:name w:val="Subtitle"/>
    <w:basedOn w:val="Normal"/>
    <w:next w:val="BodyText"/>
    <w:qFormat/>
    <w:pPr>
      <w:overflowPunct w:val="false"/>
      <w:autoSpaceDE w:val="false"/>
      <w:spacing w:before="0" w:after="60"/>
      <w:jc w:val="center"/>
      <w:outlineLvl w:val="1"/>
    </w:pPr>
    <w:rPr>
      <w:rFonts w:ascii="Arial" w:hAnsi="Arial" w:cs="Arial"/>
      <w:sz w:val="24"/>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2001-05-17T04:10:00Z</dcterms:created>
  <dc:creator>Adeline Ong</dc:creator>
  <dc:description/>
  <dc:language>en-CA</dc:language>
  <cp:lastModifiedBy>The Asia Partnership</cp:lastModifiedBy>
  <dcterms:modified xsi:type="dcterms:W3CDTF">2001-05-17T04:25:00Z</dcterms:modified>
  <cp:revision>10</cp:revision>
  <dc:subject/>
  <dc:title>The ASIA Partnership</dc:title>
</cp:coreProperties>
</file>