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shadow="1"/>
          <w:left w:val="single" w:sz="4" w:space="4" w:color="000000" w:shadow="1"/>
          <w:bottom w:val="single" w:sz="4" w:space="5" w:color="000000" w:shadow="1"/>
          <w:right w:val="single" w:sz="4" w:space="4" w:color="000000" w:shadow="1"/>
        </w:pBdr>
        <w:shd w:fill="BFBFBF" w:val="clear"/>
        <w:jc w:val="center"/>
        <w:rPr>
          <w:b/>
          <w:sz w:val="24"/>
        </w:rPr>
      </w:pPr>
      <w:r>
        <w:rPr>
          <w:b/>
          <w:sz w:val="24"/>
        </w:rPr>
        <w:t>ENRON POWER MARKETING, INC.</w:t>
      </w:r>
    </w:p>
    <w:p>
      <w:pPr>
        <w:pStyle w:val="Heading3"/>
        <w:pBdr>
          <w:top w:val="single" w:sz="4" w:space="1" w:color="000000" w:shadow="1"/>
          <w:left w:val="single" w:sz="4" w:space="4" w:color="000000" w:shadow="1"/>
          <w:bottom w:val="single" w:sz="4" w:space="5" w:color="000000" w:shadow="1"/>
          <w:right w:val="single" w:sz="4" w:space="4" w:color="000000" w:shadow="1"/>
        </w:pBdr>
        <w:shd w:fill="BFBFBF" w:val="clear"/>
        <w:ind w:hanging="0" w:start="0"/>
        <w:rPr>
          <w:b w:val="false"/>
          <w:sz w:val="24"/>
        </w:rPr>
      </w:pPr>
      <w:r>
        <w:rPr>
          <w:b w:val="false"/>
          <w:sz w:val="24"/>
        </w:rPr>
        <w:t>PROPOSAL TO</w:t>
      </w:r>
    </w:p>
    <w:p>
      <w:pPr>
        <w:pStyle w:val="Heading3"/>
        <w:pBdr>
          <w:top w:val="single" w:sz="4" w:space="1" w:color="000000" w:shadow="1"/>
          <w:left w:val="single" w:sz="4" w:space="4" w:color="000000" w:shadow="1"/>
          <w:bottom w:val="single" w:sz="4" w:space="5" w:color="000000" w:shadow="1"/>
          <w:right w:val="single" w:sz="4" w:space="4" w:color="000000" w:shadow="1"/>
        </w:pBdr>
        <w:shd w:fill="BFBFBF" w:val="clear"/>
        <w:ind w:hanging="0" w:start="0"/>
        <w:rPr>
          <w:b w:val="false"/>
          <w:sz w:val="24"/>
        </w:rPr>
      </w:pPr>
      <w:r>
        <w:rPr>
          <w:b w:val="false"/>
          <w:sz w:val="24"/>
        </w:rPr>
        <w:t>Select Energy, Inc.</w:t>
      </w:r>
    </w:p>
    <w:p>
      <w:pPr>
        <w:pStyle w:val="Normal"/>
        <w:rPr>
          <w:b/>
          <w:sz w:val="24"/>
        </w:rPr>
      </w:pPr>
      <w:r>
        <w:rPr>
          <w:b/>
          <w:sz w:val="24"/>
        </w:rPr>
      </w:r>
    </w:p>
    <w:p>
      <w:pPr>
        <w:pStyle w:val="Heading5"/>
        <w:ind w:hanging="0" w:start="0"/>
        <w:rPr>
          <w:sz w:val="24"/>
        </w:rPr>
      </w:pPr>
      <w:r>
        <w:rPr>
          <w:sz w:val="24"/>
        </w:rPr>
        <w:t>NUCLEAR DIVERSITY SWAP PROPOSAL</w:t>
      </w:r>
    </w:p>
    <w:p>
      <w:pPr>
        <w:pStyle w:val="Normal"/>
        <w:rPr>
          <w:b/>
          <w:sz w:val="24"/>
          <w:u w:val="single"/>
        </w:rPr>
      </w:pPr>
      <w:r>
        <w:rPr>
          <w:b/>
          <w:sz w:val="24"/>
          <w:u w:val="single"/>
        </w:rPr>
      </w:r>
    </w:p>
    <w:p>
      <w:pPr>
        <w:pStyle w:val="Heading2"/>
        <w:ind w:hanging="0" w:start="0"/>
        <w:jc w:val="both"/>
        <w:rPr>
          <w:sz w:val="24"/>
        </w:rPr>
      </w:pPr>
      <w:r>
        <w:rPr>
          <w:sz w:val="24"/>
        </w:rPr>
        <w:t>PARTIES TO THE TRANSACTION</w:t>
      </w:r>
    </w:p>
    <w:p>
      <w:pPr>
        <w:pStyle w:val="Normal"/>
        <w:jc w:val="both"/>
        <w:rPr>
          <w:sz w:val="24"/>
        </w:rPr>
      </w:pPr>
      <w:r>
        <w:rPr>
          <w:sz w:val="24"/>
        </w:rPr>
        <w:t>The proposed transaction would be between Enron Power Marketing, Inc. (“EPMI”) and Select Energy, Inc. (“SEI”), each a “Party” and collectively the “Parties.”</w:t>
      </w:r>
    </w:p>
    <w:p>
      <w:pPr>
        <w:pStyle w:val="Normal"/>
        <w:jc w:val="both"/>
        <w:rPr>
          <w:sz w:val="24"/>
        </w:rPr>
      </w:pPr>
      <w:r>
        <w:rPr>
          <w:sz w:val="24"/>
        </w:rPr>
      </w:r>
    </w:p>
    <w:p>
      <w:pPr>
        <w:pStyle w:val="Heading2"/>
        <w:ind w:hanging="0" w:start="0"/>
        <w:jc w:val="both"/>
        <w:rPr>
          <w:sz w:val="24"/>
        </w:rPr>
      </w:pPr>
      <w:r>
        <w:rPr>
          <w:sz w:val="24"/>
        </w:rPr>
        <w:t>PROPOSED TERM</w:t>
      </w:r>
    </w:p>
    <w:p>
      <w:pPr>
        <w:pStyle w:val="Normal"/>
        <w:rPr>
          <w:sz w:val="24"/>
        </w:rPr>
      </w:pPr>
      <w:r>
        <w:rPr>
          <w:sz w:val="24"/>
        </w:rPr>
        <w:t>The contemplated transaction would commence on hour ending 0100 Eastern Prevailing Time (“EPT”) on January 1, 2001 and end on hour ending 2400 EPT on December 31, 2001.</w:t>
      </w:r>
    </w:p>
    <w:p>
      <w:pPr>
        <w:pStyle w:val="Heading2"/>
        <w:ind w:hanging="0" w:start="0"/>
        <w:jc w:val="both"/>
        <w:rPr>
          <w:sz w:val="24"/>
        </w:rPr>
      </w:pPr>
      <w:r>
        <w:rPr>
          <w:sz w:val="24"/>
        </w:rPr>
      </w:r>
    </w:p>
    <w:p>
      <w:pPr>
        <w:pStyle w:val="Heading2"/>
        <w:ind w:hanging="0" w:start="0"/>
        <w:jc w:val="both"/>
        <w:rPr>
          <w:sz w:val="24"/>
        </w:rPr>
      </w:pPr>
      <w:r>
        <w:rPr>
          <w:sz w:val="24"/>
        </w:rPr>
        <w:t xml:space="preserve">PROPOSED STRUCTURE </w:t>
      </w:r>
    </w:p>
    <w:p>
      <w:pPr>
        <w:pStyle w:val="Header"/>
        <w:tabs>
          <w:tab w:val="clear" w:pos="4320"/>
          <w:tab w:val="clear" w:pos="8640"/>
        </w:tabs>
        <w:jc w:val="both"/>
        <w:rPr>
          <w:sz w:val="24"/>
        </w:rPr>
      </w:pPr>
      <w:r>
        <w:rPr>
          <w:sz w:val="24"/>
        </w:rPr>
        <w:t>Under the contemplated transaction, the Parties agree to exchange electrical energy (“Energy”) and Installed Capability (“ICAP”) associated with portions of their respective entitlement rights to certain nuclear generation facilities located within NEPOOL.  Specifically, EPMI agrees to convey to SEI 125 MW of Energy and ICAP associated with its entitlement interests in the Seabrook nuclear power plant for the calendar year 2001.  In return, SEI agrees to convey to EPMI 50 MW of Energy and ICAP associated with its Pilgrim nuclear plant entitlement for calendar year 2001.  In addition, SEI agrees to convey to EPMI 75 MW of Energy and ICAP associated with its Millstone 2 nuclear unit entitlement for the period 1/1/01-3/31/01 and 75 MW of Energy and ICAP associated with its Millstone 3 nuclear unit entitlement for the period 4/1/01-12/31/01.  The Seabrook, Pilgrim, Millstone 2, and Millstone 3 nuclear units are collectively referred to herein as the “Units” and individually as a “Unit.”</w:t>
      </w:r>
    </w:p>
    <w:p>
      <w:pPr>
        <w:pStyle w:val="Header"/>
        <w:tabs>
          <w:tab w:val="clear" w:pos="4320"/>
          <w:tab w:val="clear" w:pos="8640"/>
        </w:tabs>
        <w:jc w:val="both"/>
        <w:rPr>
          <w:sz w:val="24"/>
        </w:rPr>
      </w:pPr>
      <w:r>
        <w:rPr>
          <w:sz w:val="24"/>
        </w:rPr>
      </w:r>
    </w:p>
    <w:p>
      <w:pPr>
        <w:pStyle w:val="Heading2"/>
        <w:ind w:hanging="0" w:start="0"/>
        <w:jc w:val="both"/>
        <w:rPr>
          <w:sz w:val="24"/>
        </w:rPr>
      </w:pPr>
      <w:r>
        <w:rPr>
          <w:sz w:val="24"/>
        </w:rPr>
        <w:t>CONDITIONS</w:t>
      </w:r>
    </w:p>
    <w:p>
      <w:pPr>
        <w:pStyle w:val="BodyText2"/>
        <w:rPr>
          <w:sz w:val="24"/>
        </w:rPr>
      </w:pPr>
      <w:r>
        <w:rPr>
          <w:sz w:val="24"/>
        </w:rPr>
        <w:t>This transaction would be governed by the terms of the Master Agreement signed by the Parties dated ______.  The Energy and ICAP exchanged between the Parties is made on a unit-contingent basis, and each Party is obligated to provide such Energy and ICAP associated with a given Unit only to the extent that such Energy or ICAP is deemed to be available from the Unit by the ISO-NE.  The contemplated transaction shall be contingent upon Seabrook being back on line from its current outage on or before the hour ending 2400 EPT on December 31, 2000.  Each Party represents that, at the time of execution of this transaction, it is not aware of any planned or unplanned outages at any Unit during the period that its entitlement in such Unit is being transferred to the other Party in accordance with the terms specified herein.  Moreover, each Party represents that, at the time of execution of this transaction, it is not aware of any mechanical problems at any of the Units that might reasonably be expected to cause a planned or unplanned outage during the term of this agreement.  If any additional information becomes known to either Party on or before the hour ending 2400 EPT on December 31, 2000 relating to a planned or unplanned outage at a Unit (or any equipment or reliability problems at a Unit), then the Party to which the entitlement interest in such Unit is being transferred may elect to terminate this transaction on or before hour ending 2400 EPT on December 31, 2000.  Finally, if, during the term of this transaction, any one or more of the Units experiences an unplanned outage for at least 90% of its Seasonal Claimed Capability (“SCC”) that extends beyond 15 Business Days, the terms of this agreement shall cease to be in effect until such time that any such Unit(s) returns to at least 90% of its SCC.</w:t>
      </w:r>
    </w:p>
    <w:p>
      <w:pPr>
        <w:pStyle w:val="BodyText2"/>
        <w:rPr>
          <w:sz w:val="24"/>
        </w:rPr>
      </w:pPr>
      <w:r>
        <w:rPr>
          <w:sz w:val="24"/>
        </w:rPr>
      </w:r>
    </w:p>
    <w:p>
      <w:pPr>
        <w:pStyle w:val="BodyText2"/>
        <w:rPr>
          <w:b/>
          <w:sz w:val="24"/>
          <w:u w:val="single"/>
        </w:rPr>
      </w:pPr>
      <w:r>
        <w:rPr>
          <w:b/>
          <w:sz w:val="24"/>
          <w:u w:val="single"/>
        </w:rPr>
        <w:t>TRANSACTION PRICING</w:t>
      </w:r>
    </w:p>
    <w:p>
      <w:pPr>
        <w:pStyle w:val="Header"/>
        <w:tabs>
          <w:tab w:val="clear" w:pos="4320"/>
          <w:tab w:val="clear" w:pos="8640"/>
        </w:tabs>
        <w:jc w:val="both"/>
        <w:rPr>
          <w:sz w:val="24"/>
        </w:rPr>
      </w:pPr>
      <w:r>
        <w:rPr>
          <w:sz w:val="24"/>
        </w:rPr>
        <w:t>This transaction shall not involve any monetary payments between the Parties except as may be applicable in the event of Default by either Party.</w:t>
      </w:r>
    </w:p>
    <w:p>
      <w:pPr>
        <w:pStyle w:val="Header"/>
        <w:tabs>
          <w:tab w:val="clear" w:pos="4320"/>
          <w:tab w:val="clear" w:pos="8640"/>
        </w:tabs>
        <w:jc w:val="both"/>
        <w:rPr>
          <w:sz w:val="24"/>
        </w:rPr>
      </w:pPr>
      <w:r>
        <w:rPr>
          <w:sz w:val="24"/>
        </w:rPr>
      </w:r>
    </w:p>
    <w:p>
      <w:pPr>
        <w:pStyle w:val="Header"/>
        <w:tabs>
          <w:tab w:val="clear" w:pos="4320"/>
          <w:tab w:val="clear" w:pos="8640"/>
        </w:tabs>
        <w:jc w:val="both"/>
        <w:rPr>
          <w:b/>
          <w:sz w:val="24"/>
          <w:u w:val="single"/>
        </w:rPr>
      </w:pPr>
      <w:r>
        <w:rPr>
          <w:b/>
          <w:sz w:val="24"/>
          <w:u w:val="single"/>
        </w:rPr>
        <w:t>IMPLEMENTATION OF THE TRANSACTION</w:t>
      </w:r>
    </w:p>
    <w:p>
      <w:pPr>
        <w:pStyle w:val="Header"/>
        <w:tabs>
          <w:tab w:val="clear" w:pos="4320"/>
          <w:tab w:val="clear" w:pos="8640"/>
        </w:tabs>
        <w:jc w:val="both"/>
        <w:rPr>
          <w:sz w:val="24"/>
        </w:rPr>
      </w:pPr>
      <w:r>
        <w:rPr>
          <w:sz w:val="24"/>
        </w:rPr>
        <w:t>The Parties agree to submit all of the applicable unit sales contracts with the ISO-NE to accomplish the contemplated transaction.  Furthermore, each Party agrees to furnish the other Party with any information relating to equipment problems or the actual or expected outage of any of the Units as soon as practicable from the time that such information becomes available to the Party.</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rPr>
    </w:pPr>
    <w:r>
      <w:rPr>
        <w:i/>
      </w:rPr>
    </w:r>
  </w:p>
  <w:p>
    <w:pPr>
      <w:pStyle w:val="Footer"/>
      <w:jc w:val="both"/>
      <w:rPr>
        <w:i/>
        <w:i/>
      </w:rPr>
    </w:pPr>
    <w:r>
      <w:rPr>
        <w:i/>
      </w:rPr>
      <w:t>All terms and conditions of this proposal are confidential between the Parties and their duly appointed agents.  The costs assumed in this proposal are subject to movement during the time period during which the Parties will evaluate this proposal.  This proposal is for discussion purposes only and to facilitate the negotiation, preparation, and execution of a definitive agreement.  This is not an offer or a commitment of either Party, or any parent or affiliate of either.  The transaction described herein is subject to further review and approval by the Parties and execution of a definitive agreement containing all appropriate provisions, including, but not limited to, those relating to credit and limitation of damages and remedies.</w:t>
    </w:r>
  </w:p>
  <w:p>
    <w:pPr>
      <w:pStyle w:val="Footer"/>
      <w:rPr>
        <w:i/>
        <w:i/>
      </w:rPr>
    </w:pPr>
    <w:r>
      <w:rPr>
        <w:i/>
      </w:rPr>
    </w:r>
  </w:p>
  <w:p>
    <w:pPr>
      <w:pStyle w:val="Footer"/>
      <w:rPr/>
    </w:pPr>
    <w:r>
      <w:rPr>
        <w:i/>
      </w:rPr>
      <w:tab/>
      <w:tab/>
    </w:r>
    <w:r>
      <w:rPr>
        <w:i/>
      </w:rPr>
      <w:fldChar w:fldCharType="begin"/>
    </w:r>
    <w:r>
      <w:rPr>
        <w:i/>
      </w:rPr>
      <w:instrText xml:space="preserve"> DATE \@"MM\/dd\/yy" </w:instrText>
    </w:r>
    <w:r>
      <w:rPr>
        <w:i/>
      </w:rPr>
      <w:fldChar w:fldCharType="separate"/>
    </w:r>
    <w:r>
      <w:rPr>
        <w:i/>
      </w:rPr>
      <w:t>09/28/25</w:t>
    </w:r>
    <w:r>
      <w:rPr>
        <w:i/>
      </w:rPr>
      <w:fldChar w:fldCharType="end"/>
    </w:r>
    <w:r>
      <w:rPr>
        <w:i/>
      </w:rPr>
      <w:t xml:space="preserve"> </w:t>
    </w:r>
    <w:r>
      <w:rPr>
        <w:i/>
      </w:rPr>
      <w:fldChar w:fldCharType="begin"/>
    </w:r>
    <w:r>
      <w:rPr>
        <w:i/>
      </w:rPr>
      <w:instrText xml:space="preserve"> TIME \@"H:mm\ AM/PM" </w:instrText>
    </w:r>
    <w:r>
      <w:rPr>
        <w:i/>
      </w:rPr>
      <w:fldChar w:fldCharType="separate"/>
    </w:r>
    <w:r>
      <w:rPr>
        <w:i/>
      </w:rPr>
      <w:t>9:01 AM</w:t>
    </w:r>
    <w:r>
      <w:rPr>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pBdr>
        <w:top w:val="single" w:sz="4" w:space="1" w:color="000000"/>
        <w:left w:val="single" w:sz="4" w:space="4" w:color="000000"/>
        <w:bottom w:val="single" w:sz="4" w:space="1" w:color="000000"/>
        <w:right w:val="single" w:sz="4" w:space="4" w:color="000000"/>
      </w:pBdr>
      <w:jc w:val="center"/>
      <w:outlineLvl w:val="2"/>
    </w:pPr>
    <w:rPr>
      <w:b/>
      <w:sz w:val="28"/>
    </w:rPr>
  </w:style>
  <w:style w:type="paragraph" w:styleId="Heading4">
    <w:name w:val="heading 4"/>
    <w:basedOn w:val="Normal"/>
    <w:next w:val="Normal"/>
    <w:qFormat/>
    <w:pPr>
      <w:keepNext w:val="true"/>
      <w:numPr>
        <w:ilvl w:val="3"/>
        <w:numId w:val="1"/>
      </w:numPr>
      <w:jc w:val="center"/>
      <w:outlineLvl w:val="3"/>
    </w:pPr>
    <w:rPr>
      <w:b/>
      <w:i/>
    </w:rPr>
  </w:style>
  <w:style w:type="paragraph" w:styleId="Heading5">
    <w:name w:val="heading 5"/>
    <w:basedOn w:val="Normal"/>
    <w:next w:val="Normal"/>
    <w:qFormat/>
    <w:pPr>
      <w:keepNext w:val="true"/>
      <w:numPr>
        <w:ilvl w:val="4"/>
        <w:numId w:val="1"/>
      </w:numPr>
      <w:jc w:val="center"/>
      <w:outlineLvl w:val="4"/>
    </w:pPr>
    <w:rPr>
      <w:b/>
    </w:rPr>
  </w:style>
  <w:style w:type="character" w:styleId="WW8Num1z0">
    <w:name w:val="WW8Num1z0"/>
    <w:qFormat/>
    <w:rPr>
      <w:rFonts w:ascii="Times New Roman" w:hAnsi="Times New Roman" w:cs="Times New Roman"/>
      <w:b w:val="false"/>
      <w:i w:val="false"/>
      <w:sz w:val="20"/>
    </w:rPr>
  </w:style>
  <w:style w:type="character" w:styleId="WW8Num2z0">
    <w:name w:val="WW8Num2z0"/>
    <w:qFormat/>
    <w:rPr>
      <w:rFonts w:ascii="Times New Roman" w:hAnsi="Times New Roman" w:cs="Times New Roman"/>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2">
    <w:name w:val="Body Text 2"/>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2000-02-07T17:07:00Z</dcterms:created>
  <dc:creator>ENRON</dc:creator>
  <dc:description/>
  <dc:language>en-CA</dc:language>
  <cp:lastModifiedBy>logistics</cp:lastModifiedBy>
  <cp:lastPrinted>2000-12-11T11:57:00Z</cp:lastPrinted>
  <dcterms:modified xsi:type="dcterms:W3CDTF">2000-12-11T15:27:00Z</dcterms:modified>
  <cp:revision>38</cp:revision>
  <dc:subject/>
  <dc:title>ENRON POWER MARKETING, INC</dc:title>
</cp:coreProperties>
</file>