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160"/>
        <w:rPr>
          <w:spacing w:val="-2"/>
        </w:rPr>
      </w:pPr>
      <w:r>
        <w:fldChar w:fldCharType="begin"/>
      </w:r>
      <w:r>
        <w:rPr>
          <w:spacing w:val="-2"/>
        </w:rPr>
        <w:instrText xml:space="preserve">ADVANCE \U 21.60</w:instrText>
      </w:r>
      <w:r>
        <w:rPr>
          <w:spacing w:val="-2"/>
        </w:rPr>
      </w:r>
      <w:r>
        <w:rPr>
          <w:spacing w:val="-2"/>
        </w:rPr>
        <w:fldChar w:fldCharType="separate"/>
      </w:r>
      <w:r>
        <w:rPr>
          <w:spacing w:val="-2"/>
        </w:rPr>
      </w:r>
      <w:r/>
      <w:r>
        <w:rPr>
          <w:spacing w:val="-2"/>
        </w:rPr>
        <w:fldChar w:fldCharType="end"/>
      </w:r>
      <w:r>
        <w:rPr>
          <w:spacing w:val="-2"/>
        </w:rPr>
      </w:r>
      <w:r>
        <mc:AlternateContent>
          <mc:Choice Requires="wps">
            <w:drawing>
              <wp:anchor behindDoc="0" distT="155575" distB="155575" distL="155575" distR="155575" simplePos="0" locked="0" layoutInCell="0" allowOverlap="1" relativeHeight="2">
                <wp:simplePos x="0" y="0"/>
                <wp:positionH relativeFrom="page">
                  <wp:posOffset>1885950</wp:posOffset>
                </wp:positionH>
                <wp:positionV relativeFrom="paragraph">
                  <wp:posOffset>-367665</wp:posOffset>
                </wp:positionV>
                <wp:extent cx="4109085" cy="1099820"/>
                <wp:effectExtent l="0" t="0" r="0" b="0"/>
                <wp:wrapSquare wrapText="bothSides"/>
                <wp:docPr id="1" name="Frame1"/>
                <a:graphic xmlns:a="http://schemas.openxmlformats.org/drawingml/2006/main">
                  <a:graphicData uri="http://schemas.microsoft.com/office/word/2010/wordprocessingShape">
                    <wps:wsp>
                      <wps:cNvSpPr txBox="1"/>
                      <wps:spPr>
                        <a:xfrm>
                          <a:off x="0" y="0"/>
                          <a:ext cx="4109085" cy="1099820"/>
                        </a:xfrm>
                        <a:prstGeom prst="rect"/>
                        <a:solidFill>
                          <a:srgbClr val="FFFFFF">
                            <a:alpha val="0"/>
                          </a:srgbClr>
                        </a:solidFill>
                        <a:ln w="19050">
                          <a:solidFill>
                            <a:srgbClr val="FFFFFF"/>
                          </a:solidFill>
                        </a:ln>
                      </wps:spPr>
                      <wps:txbx>
                        <w:txbxContent>
                          <w:p>
                            <w:pPr>
                              <w:pStyle w:val="Normal"/>
                              <w:tabs>
                                <w:tab w:val="clear" w:pos="720"/>
                                <w:tab w:val="center" w:pos="4680" w:leader="none"/>
                              </w:tabs>
                              <w:suppressAutoHyphens w:val="true"/>
                              <w:jc w:val="center"/>
                              <w:rPr>
                                <w:b/>
                                <w:bCs/>
                                <w:position w:val="-40"/>
                                <w:sz w:val="32"/>
                                <w:szCs w:val="32"/>
                              </w:rPr>
                            </w:pPr>
                            <w:bookmarkStart w:id="0" w:name="zbkMemoHeading"/>
                            <w:bookmarkEnd w:id="0"/>
                            <w:r>
                              <w:rPr>
                                <w:b/>
                                <w:bCs/>
                                <w:position w:val="-40"/>
                                <w:sz w:val="32"/>
                                <w:szCs w:val="32"/>
                              </w:rPr>
                              <w:t xml:space="preserve">ARTER &amp; HADDEN </w:t>
                            </w:r>
                            <w:r>
                              <w:rPr>
                                <w:b/>
                                <w:bCs/>
                                <w:position w:val="-40"/>
                                <w:sz w:val="18"/>
                                <w:szCs w:val="18"/>
                              </w:rPr>
                              <w:t>LLP</w:t>
                            </w:r>
                          </w:p>
                          <w:p>
                            <w:pPr>
                              <w:pStyle w:val="Normal"/>
                              <w:tabs>
                                <w:tab w:val="clear" w:pos="720"/>
                                <w:tab w:val="center" w:pos="2718" w:leader="none"/>
                              </w:tabs>
                              <w:suppressAutoHyphens w:val="true"/>
                              <w:spacing w:before="280" w:after="0"/>
                              <w:jc w:val="center"/>
                              <w:rPr>
                                <w:spacing w:val="50"/>
                                <w:sz w:val="28"/>
                                <w:szCs w:val="28"/>
                                <w:u w:val="single"/>
                              </w:rPr>
                            </w:pPr>
                            <w:r>
                              <w:rPr>
                                <w:b/>
                                <w:bCs/>
                                <w:spacing w:val="50"/>
                                <w:sz w:val="28"/>
                                <w:szCs w:val="28"/>
                                <w:u w:val="single"/>
                              </w:rPr>
                              <w:t>MEMORANDUM</w:t>
                            </w:r>
                          </w:p>
                        </w:txbxContent>
                      </wps:txbx>
                      <wps:bodyPr anchor="t" lIns="50800" tIns="76200" rIns="50800" bIns="76200">
                        <a:noAutofit/>
                      </wps:bodyPr>
                    </wps:wsp>
                  </a:graphicData>
                </a:graphic>
              </wp:anchor>
            </w:drawing>
          </mc:Choice>
          <mc:Fallback>
            <w:pict>
              <v:rect fillcolor="#FFFFFF" strokecolor="#FFFFFF" strokeweight="1pt" style="position:absolute;rotation:-0;width:323.55pt;height:86.6pt;mso-wrap-distance-left:12.25pt;mso-wrap-distance-right:12.25pt;mso-wrap-distance-top:12.25pt;mso-wrap-distance-bottom:12.25pt;margin-top:-28.95pt;mso-position-vertical-relative:text;margin-left:148.5pt;mso-position-horizontal-relative:page">
                <v:fill opacity="0f"/>
                <v:textbox inset="0.0555555555555556in,0.0833333333333333in,0.0555555555555556in,0.0833333333333333in">
                  <w:txbxContent>
                    <w:p>
                      <w:pPr>
                        <w:pStyle w:val="Normal"/>
                        <w:tabs>
                          <w:tab w:val="clear" w:pos="720"/>
                          <w:tab w:val="center" w:pos="4680" w:leader="none"/>
                        </w:tabs>
                        <w:suppressAutoHyphens w:val="true"/>
                        <w:jc w:val="center"/>
                        <w:rPr>
                          <w:b/>
                          <w:bCs/>
                          <w:position w:val="-40"/>
                          <w:sz w:val="32"/>
                          <w:szCs w:val="32"/>
                        </w:rPr>
                      </w:pPr>
                      <w:bookmarkStart w:id="1" w:name="zbkMemoHeading"/>
                      <w:bookmarkEnd w:id="1"/>
                      <w:r>
                        <w:rPr>
                          <w:b/>
                          <w:bCs/>
                          <w:position w:val="-40"/>
                          <w:sz w:val="32"/>
                          <w:szCs w:val="32"/>
                        </w:rPr>
                        <w:t xml:space="preserve">ARTER &amp; HADDEN </w:t>
                      </w:r>
                      <w:r>
                        <w:rPr>
                          <w:b/>
                          <w:bCs/>
                          <w:position w:val="-40"/>
                          <w:sz w:val="18"/>
                          <w:szCs w:val="18"/>
                        </w:rPr>
                        <w:t>LLP</w:t>
                      </w:r>
                    </w:p>
                    <w:p>
                      <w:pPr>
                        <w:pStyle w:val="Normal"/>
                        <w:tabs>
                          <w:tab w:val="clear" w:pos="720"/>
                          <w:tab w:val="center" w:pos="2718" w:leader="none"/>
                        </w:tabs>
                        <w:suppressAutoHyphens w:val="true"/>
                        <w:spacing w:before="280" w:after="0"/>
                        <w:jc w:val="center"/>
                        <w:rPr>
                          <w:spacing w:val="50"/>
                          <w:sz w:val="28"/>
                          <w:szCs w:val="28"/>
                          <w:u w:val="single"/>
                        </w:rPr>
                      </w:pPr>
                      <w:r>
                        <w:rPr>
                          <w:b/>
                          <w:bCs/>
                          <w:spacing w:val="50"/>
                          <w:sz w:val="28"/>
                          <w:szCs w:val="28"/>
                          <w:u w:val="single"/>
                        </w:rPr>
                        <w:t>MEMORANDUM</w:t>
                      </w:r>
                    </w:p>
                  </w:txbxContent>
                </v:textbox>
                <w10:wrap type="square"/>
              </v:rect>
            </w:pict>
          </mc:Fallback>
        </mc:AlternateContent>
      </w:r>
    </w:p>
    <w:tbl>
      <w:tblPr>
        <w:tblW w:w="9570" w:type="dxa"/>
        <w:jc w:val="start"/>
        <w:tblInd w:w="0" w:type="dxa"/>
        <w:tblLayout w:type="fixed"/>
        <w:tblCellMar>
          <w:top w:w="0" w:type="dxa"/>
          <w:start w:w="120" w:type="dxa"/>
          <w:bottom w:w="0" w:type="dxa"/>
          <w:end w:w="120" w:type="dxa"/>
        </w:tblCellMar>
      </w:tblPr>
      <w:tblGrid>
        <w:gridCol w:w="1470"/>
        <w:gridCol w:w="8100"/>
      </w:tblGrid>
      <w:tr>
        <w:trPr/>
        <w:tc>
          <w:tcPr>
            <w:tcW w:w="9570" w:type="dxa"/>
            <w:gridSpan w:val="2"/>
            <w:tcBorders/>
          </w:tcPr>
          <w:p>
            <w:pPr>
              <w:pStyle w:val="Normal"/>
              <w:tabs>
                <w:tab w:val="clear" w:pos="720"/>
                <w:tab w:val="left" w:pos="-720" w:leader="none"/>
              </w:tabs>
              <w:suppressAutoHyphens w:val="true"/>
              <w:spacing w:before="66" w:after="112"/>
              <w:jc w:val="center"/>
              <w:rPr>
                <w:color w:val="000000"/>
                <w:sz w:val="22"/>
                <w:szCs w:val="22"/>
              </w:rPr>
            </w:pPr>
            <w:r>
              <w:rPr>
                <w:b/>
                <w:bCs/>
                <w:color w:val="000000"/>
                <w:sz w:val="22"/>
                <w:szCs w:val="22"/>
                <w:u w:val="single"/>
              </w:rPr>
              <w:t>CONFIDENTIAL:  ATTORNEY-CLIENT</w:t>
            </w:r>
            <w:r>
              <w:rPr>
                <w:color w:val="000000"/>
                <w:sz w:val="22"/>
                <w:szCs w:val="22"/>
              </w:rPr>
              <w:br/>
            </w:r>
            <w:r>
              <w:rPr>
                <w:b/>
                <w:bCs/>
                <w:color w:val="000000"/>
                <w:sz w:val="22"/>
                <w:szCs w:val="22"/>
                <w:u w:val="single"/>
              </w:rPr>
              <w:t>PRIVILEGED COMMUNICATION</w:t>
            </w:r>
            <w:bookmarkStart w:id="2" w:name="bkClause"/>
            <w:bookmarkEnd w:id="2"/>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TO:</w:t>
            </w:r>
          </w:p>
        </w:tc>
        <w:tc>
          <w:tcPr>
            <w:tcW w:w="8100" w:type="dxa"/>
            <w:tcBorders/>
          </w:tcPr>
          <w:p>
            <w:pPr>
              <w:pStyle w:val="zMemoInfo"/>
              <w:suppressAutoHyphens w:val="true"/>
              <w:spacing w:before="66" w:after="112"/>
              <w:jc w:val="start"/>
              <w:rPr/>
            </w:pPr>
            <w:bookmarkStart w:id="3" w:name="bkTo"/>
            <w:bookmarkEnd w:id="3"/>
            <w:r>
              <w:rPr/>
              <w:t>WPTF Board of Directors</w:t>
            </w:r>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FROM:</w:t>
            </w:r>
          </w:p>
        </w:tc>
        <w:tc>
          <w:tcPr>
            <w:tcW w:w="8100" w:type="dxa"/>
            <w:tcBorders/>
          </w:tcPr>
          <w:p>
            <w:pPr>
              <w:pStyle w:val="zMemoInfo"/>
              <w:suppressAutoHyphens w:val="true"/>
              <w:spacing w:before="66" w:after="112"/>
              <w:jc w:val="start"/>
              <w:rPr/>
            </w:pPr>
            <w:bookmarkStart w:id="4" w:name="bkFrom"/>
            <w:bookmarkEnd w:id="4"/>
            <w:r>
              <w:rPr/>
              <w:t>Daniel W. Douglass</w:t>
            </w:r>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DATE:</w:t>
            </w:r>
          </w:p>
        </w:tc>
        <w:tc>
          <w:tcPr>
            <w:tcW w:w="8100" w:type="dxa"/>
            <w:tcBorders/>
          </w:tcPr>
          <w:p>
            <w:pPr>
              <w:pStyle w:val="zMemoInfo"/>
              <w:suppressAutoHyphens w:val="true"/>
              <w:spacing w:before="66" w:after="112"/>
              <w:jc w:val="start"/>
              <w:rPr>
                <w:spacing w:val="-3"/>
              </w:rPr>
            </w:pPr>
            <w:bookmarkStart w:id="5" w:name="bkDate"/>
            <w:r>
              <w:rPr/>
              <w:t xml:space="preserve">November 1, 2000 </w:t>
            </w:r>
            <w:bookmarkEnd w:id="5"/>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RE:</w:t>
            </w:r>
          </w:p>
        </w:tc>
        <w:tc>
          <w:tcPr>
            <w:tcW w:w="8100" w:type="dxa"/>
            <w:tcBorders/>
          </w:tcPr>
          <w:p>
            <w:pPr>
              <w:pStyle w:val="zMemoInfo"/>
              <w:suppressAutoHyphens w:val="true"/>
              <w:spacing w:before="66" w:after="112"/>
              <w:jc w:val="start"/>
              <w:rPr/>
            </w:pPr>
            <w:bookmarkStart w:id="6" w:name="bkRe"/>
            <w:bookmarkEnd w:id="6"/>
            <w:r>
              <w:rPr/>
              <w:t>FERC Meeting of November 1, 2000</w:t>
            </w:r>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SUBJECT:</w:t>
            </w:r>
          </w:p>
        </w:tc>
        <w:tc>
          <w:tcPr>
            <w:tcW w:w="8100" w:type="dxa"/>
            <w:tcBorders/>
          </w:tcPr>
          <w:p>
            <w:pPr>
              <w:pStyle w:val="zMemoInfo"/>
              <w:suppressAutoHyphens w:val="true"/>
              <w:spacing w:before="66" w:after="112"/>
              <w:jc w:val="start"/>
              <w:rPr/>
            </w:pPr>
            <w:bookmarkStart w:id="7" w:name="bkSubj"/>
            <w:bookmarkEnd w:id="7"/>
            <w:r>
              <w:rPr/>
              <w:t>California Market Issues</w:t>
            </w:r>
          </w:p>
        </w:tc>
      </w:tr>
      <w:tr>
        <w:trPr>
          <w:trHeight w:val="240" w:hRule="exact"/>
        </w:trPr>
        <w:tc>
          <w:tcPr>
            <w:tcW w:w="1470" w:type="dxa"/>
            <w:tcBorders>
              <w:bottom w:val="double" w:sz="6" w:space="0" w:color="000000"/>
            </w:tcBorders>
          </w:tcPr>
          <w:p>
            <w:pPr>
              <w:pStyle w:val="Normal"/>
              <w:tabs>
                <w:tab w:val="clear" w:pos="720"/>
                <w:tab w:val="left" w:pos="-720" w:leader="none"/>
              </w:tabs>
              <w:suppressAutoHyphens w:val="true"/>
              <w:snapToGrid w:val="false"/>
              <w:spacing w:before="66" w:after="112"/>
              <w:rPr>
                <w:rStyle w:val="zMemoHdg"/>
                <w:spacing w:val="-3"/>
              </w:rPr>
            </w:pPr>
            <w:r>
              <w:rPr>
                <w:color w:val="000000"/>
                <w:spacing w:val="-3"/>
              </w:rPr>
            </w:r>
          </w:p>
        </w:tc>
        <w:tc>
          <w:tcPr>
            <w:tcW w:w="8100" w:type="dxa"/>
            <w:tcBorders>
              <w:bottom w:val="double" w:sz="6" w:space="0" w:color="000000"/>
            </w:tcBorders>
          </w:tcPr>
          <w:p>
            <w:pPr>
              <w:pStyle w:val="Normal"/>
              <w:tabs>
                <w:tab w:val="clear" w:pos="720"/>
                <w:tab w:val="left" w:pos="-720" w:leader="none"/>
              </w:tabs>
              <w:suppressAutoHyphens w:val="true"/>
              <w:snapToGrid w:val="false"/>
              <w:spacing w:before="66" w:after="112"/>
              <w:rPr>
                <w:rStyle w:val="zMemoHdg"/>
                <w:color w:val="000000"/>
                <w:spacing w:val="-3"/>
              </w:rPr>
            </w:pPr>
            <w:r>
              <w:rPr/>
            </w:r>
          </w:p>
        </w:tc>
      </w:tr>
    </w:tbl>
    <w:p>
      <w:pPr>
        <w:pStyle w:val="Normal"/>
        <w:tabs>
          <w:tab w:val="clear" w:pos="720"/>
          <w:tab w:val="left" w:pos="-720" w:leader="none"/>
        </w:tabs>
        <w:suppressAutoHyphens w:val="true"/>
        <w:rPr>
          <w:color w:val="000000"/>
          <w:spacing w:val="-3"/>
        </w:rPr>
      </w:pPr>
      <w:r>
        <w:rPr>
          <w:color w:val="000000"/>
          <w:spacing w:val="-3"/>
        </w:rPr>
      </w:r>
    </w:p>
    <w:p>
      <w:pPr>
        <w:pStyle w:val="Normal"/>
        <w:ind w:firstLine="720" w:end="0"/>
        <w:rPr/>
      </w:pPr>
      <w:bookmarkStart w:id="8" w:name="bkStart"/>
      <w:bookmarkEnd w:id="8"/>
      <w:r>
        <w:rPr/>
        <w:t xml:space="preserve">This morning the FERC had its meeting to discuss events in California and the FERC’s response to them. The following is a summary of the remarks of the four Commissioners and the major points of what has been ordered: </w:t>
      </w:r>
    </w:p>
    <w:p>
      <w:pPr>
        <w:pStyle w:val="Normal"/>
        <w:ind w:firstLine="720" w:end="0"/>
        <w:rPr/>
      </w:pPr>
      <w:r>
        <w:rPr/>
      </w:r>
    </w:p>
    <w:p>
      <w:pPr>
        <w:pStyle w:val="Normal"/>
        <w:rPr>
          <w:b/>
          <w:bCs/>
          <w:u w:val="single"/>
        </w:rPr>
      </w:pPr>
      <w:r>
        <w:rPr>
          <w:b/>
          <w:bCs/>
          <w:u w:val="single"/>
        </w:rPr>
        <w:t>Major features</w:t>
      </w:r>
    </w:p>
    <w:p>
      <w:pPr>
        <w:pStyle w:val="Normal"/>
        <w:rPr>
          <w:b/>
          <w:bCs/>
          <w:u w:val="single"/>
        </w:rPr>
      </w:pPr>
      <w:r>
        <w:rPr>
          <w:b/>
          <w:bCs/>
          <w:u w:val="single"/>
        </w:rPr>
      </w:r>
    </w:p>
    <w:p>
      <w:pPr>
        <w:pStyle w:val="Normal"/>
        <w:numPr>
          <w:ilvl w:val="0"/>
          <w:numId w:val="2"/>
        </w:numPr>
        <w:tabs>
          <w:tab w:val="clear" w:pos="720"/>
          <w:tab w:val="left" w:pos="0" w:leader="none"/>
        </w:tabs>
        <w:ind w:hanging="720" w:start="720" w:end="0"/>
        <w:rPr/>
      </w:pPr>
      <w:r>
        <w:rPr/>
        <w:t>Proposes to replace ISO and PX boards with independent, non-stakeholder boards.</w:t>
      </w:r>
    </w:p>
    <w:p>
      <w:pPr>
        <w:pStyle w:val="Normal"/>
        <w:numPr>
          <w:ilvl w:val="0"/>
          <w:numId w:val="2"/>
        </w:numPr>
        <w:tabs>
          <w:tab w:val="clear" w:pos="720"/>
          <w:tab w:val="left" w:pos="0" w:leader="none"/>
        </w:tabs>
        <w:ind w:hanging="720" w:start="720" w:end="0"/>
        <w:rPr/>
      </w:pPr>
      <w:r>
        <w:rPr/>
        <w:t>Continued significant role for the presidents of PX/ISO, who should be made voting members.</w:t>
      </w:r>
    </w:p>
    <w:p>
      <w:pPr>
        <w:pStyle w:val="Normal"/>
        <w:numPr>
          <w:ilvl w:val="0"/>
          <w:numId w:val="2"/>
        </w:numPr>
        <w:tabs>
          <w:tab w:val="clear" w:pos="720"/>
          <w:tab w:val="left" w:pos="0" w:leader="none"/>
        </w:tabs>
        <w:ind w:hanging="720" w:start="720" w:end="0"/>
        <w:rPr/>
      </w:pPr>
      <w:r>
        <w:rPr/>
        <w:t>Elimination of mandated buy-sell requirement for the IOUs (although no explanation as to whether this requires CPUC action). Over-reliance on spot markets has been problematical.</w:t>
      </w:r>
    </w:p>
    <w:p>
      <w:pPr>
        <w:pStyle w:val="Normal"/>
        <w:numPr>
          <w:ilvl w:val="0"/>
          <w:numId w:val="2"/>
        </w:numPr>
        <w:tabs>
          <w:tab w:val="clear" w:pos="720"/>
          <w:tab w:val="left" w:pos="0" w:leader="none"/>
        </w:tabs>
        <w:ind w:hanging="720" w:start="720" w:end="0"/>
        <w:rPr/>
      </w:pPr>
      <w:r>
        <w:rPr/>
        <w:t>As an independent exchange, the PX will be free to design the products desired by the market.</w:t>
      </w:r>
    </w:p>
    <w:p>
      <w:pPr>
        <w:pStyle w:val="Normal"/>
        <w:numPr>
          <w:ilvl w:val="0"/>
          <w:numId w:val="2"/>
        </w:numPr>
        <w:tabs>
          <w:tab w:val="clear" w:pos="720"/>
          <w:tab w:val="left" w:pos="0" w:leader="none"/>
        </w:tabs>
        <w:ind w:hanging="720" w:start="720" w:end="0"/>
        <w:rPr/>
      </w:pPr>
      <w:r>
        <w:rPr/>
        <w:t>The proposed price modification measure will be a temporary measure. Single price for all offers below $150. However, no bid above $150 will set the price for all generators. A seller can bid anything it wants. Allowing generators to receive their as-bid price will allow high-cost generators to participate in the market. However, the generator will be required to provide confidential reports to FERC explaining the necessity for bids over $150 through 12/31/02.</w:t>
      </w:r>
    </w:p>
    <w:p>
      <w:pPr>
        <w:pStyle w:val="Normal"/>
        <w:numPr>
          <w:ilvl w:val="0"/>
          <w:numId w:val="2"/>
        </w:numPr>
        <w:tabs>
          <w:tab w:val="clear" w:pos="720"/>
          <w:tab w:val="left" w:pos="0" w:leader="none"/>
        </w:tabs>
        <w:ind w:hanging="720" w:start="720" w:end="0"/>
        <w:rPr/>
      </w:pPr>
      <w:r>
        <w:rPr/>
        <w:t>The order requires forward scheduling of 95% of an scheduling coordinator’s schedule, with a penalty applied for deviations which exceed 5% As an incentive, the proceeds of the penalties go to the schedulers who comply with the tolerance band.</w:t>
      </w:r>
    </w:p>
    <w:p>
      <w:pPr>
        <w:pStyle w:val="Normal"/>
        <w:numPr>
          <w:ilvl w:val="0"/>
          <w:numId w:val="2"/>
        </w:numPr>
        <w:tabs>
          <w:tab w:val="clear" w:pos="720"/>
          <w:tab w:val="left" w:pos="0" w:leader="none"/>
        </w:tabs>
        <w:ind w:hanging="720" w:start="720" w:end="0"/>
        <w:rPr/>
      </w:pPr>
      <w:r>
        <w:rPr/>
        <w:t>Rejects the purchase price caps proposed by the ISO. The order would eliminate the ISO’s price cap authority.</w:t>
      </w:r>
    </w:p>
    <w:p>
      <w:pPr>
        <w:pStyle w:val="Normal"/>
        <w:numPr>
          <w:ilvl w:val="0"/>
          <w:numId w:val="2"/>
        </w:numPr>
        <w:tabs>
          <w:tab w:val="clear" w:pos="720"/>
          <w:tab w:val="left" w:pos="0" w:leader="none"/>
        </w:tabs>
        <w:ind w:hanging="360" w:start="720" w:end="0"/>
        <w:rPr/>
      </w:pPr>
      <w:r>
        <w:rPr/>
        <w:t xml:space="preserve">Beginning 1/1/01, the prospect of refunds will be available. </w:t>
      </w:r>
    </w:p>
    <w:p>
      <w:pPr>
        <w:pStyle w:val="Normal"/>
        <w:rPr/>
      </w:pPr>
      <w:r>
        <w:rPr/>
      </w:r>
    </w:p>
    <w:p>
      <w:pPr>
        <w:pStyle w:val="Normal"/>
        <w:rPr/>
      </w:pPr>
      <w:r>
        <w:rPr>
          <w:b/>
          <w:bCs/>
          <w:u w:val="single"/>
        </w:rPr>
        <w:t>Commissioner Hebert</w:t>
      </w:r>
      <w:r>
        <w:rPr/>
        <w:br/>
      </w:r>
    </w:p>
    <w:p>
      <w:pPr>
        <w:pStyle w:val="Normal"/>
        <w:ind w:firstLine="720" w:end="0"/>
        <w:rPr/>
      </w:pPr>
      <w:r>
        <w:rPr/>
        <w:t>Due to a technical problem when I called in, I heard only part of his remarks. He announced that he will have a separate concurrence in the order, but is troubled by some of its features. The $150 cap is questionable, whether described as a “Soft cap” or as a “hard cap.”</w:t>
        <w:br/>
        <w:t xml:space="preserve">His concern is that it will clearly discourage new investment in generation. He therefore recommended that the $150 cap should be escalated on a regular basis (perhaps every six months) until it reaches at least $250. </w:t>
      </w:r>
    </w:p>
    <w:p>
      <w:pPr>
        <w:pStyle w:val="Normal"/>
        <w:rPr/>
      </w:pPr>
      <w:r>
        <w:rPr/>
      </w:r>
    </w:p>
    <w:p>
      <w:pPr>
        <w:pStyle w:val="Normal"/>
        <w:ind w:firstLine="720" w:end="0"/>
        <w:rPr/>
      </w:pPr>
      <w:r>
        <w:rPr/>
        <w:t xml:space="preserve">He points out that the ISO and PX are required to make RTO filings to FERC on 1/16/01. These filings should address the major aspects of the Order issued today. </w:t>
      </w:r>
    </w:p>
    <w:p>
      <w:pPr>
        <w:pStyle w:val="Normal"/>
        <w:rPr/>
      </w:pPr>
      <w:r>
        <w:rPr/>
      </w:r>
    </w:p>
    <w:p>
      <w:pPr>
        <w:pStyle w:val="Normal"/>
        <w:ind w:firstLine="720" w:end="0"/>
        <w:rPr/>
      </w:pPr>
      <w:r>
        <w:rPr/>
        <w:t xml:space="preserve">Hebert also questioned the issue of refunds, alleging that it was “disingenuous” to suggests that refunds were a possible remedy. </w:t>
      </w:r>
    </w:p>
    <w:p>
      <w:pPr>
        <w:pStyle w:val="Normal"/>
        <w:rPr/>
      </w:pPr>
      <w:r>
        <w:rPr/>
      </w:r>
    </w:p>
    <w:p>
      <w:pPr>
        <w:pStyle w:val="Normal"/>
        <w:rPr/>
      </w:pPr>
      <w:r>
        <w:rPr>
          <w:b/>
          <w:bCs/>
          <w:u w:val="single"/>
        </w:rPr>
        <w:t>Commissioner Breathitt</w:t>
      </w:r>
      <w:r>
        <w:rPr/>
        <w:t xml:space="preserve"> </w:t>
      </w:r>
    </w:p>
    <w:p>
      <w:pPr>
        <w:pStyle w:val="Normal"/>
        <w:ind w:firstLine="720" w:end="0"/>
        <w:rPr/>
      </w:pPr>
      <w:r>
        <w:rPr/>
      </w:r>
    </w:p>
    <w:p>
      <w:pPr>
        <w:pStyle w:val="Normal"/>
        <w:ind w:firstLine="720" w:end="0"/>
        <w:rPr/>
      </w:pPr>
      <w:r>
        <w:rPr/>
        <w:t>Breathitt announced almost all of the foregoing major points of the orderThe order is based on a market approach. “In choosing our market-based approach, it is our goal to guide the markets to self-correct and not re-institute command and control regulation.  “We have all worked too hard, too long, to have this result.”</w:t>
      </w:r>
    </w:p>
    <w:p>
      <w:pPr>
        <w:pStyle w:val="Normal"/>
        <w:ind w:firstLine="720" w:end="0"/>
        <w:rPr/>
      </w:pPr>
      <w:r>
        <w:rPr/>
      </w:r>
    </w:p>
    <w:p>
      <w:pPr>
        <w:pStyle w:val="Normal"/>
        <w:rPr/>
      </w:pPr>
      <w:r>
        <w:rPr>
          <w:b/>
          <w:bCs/>
          <w:u w:val="single"/>
        </w:rPr>
        <w:t>Commissioner Massey</w:t>
      </w:r>
      <w:r>
        <w:rPr/>
        <w:br/>
      </w:r>
    </w:p>
    <w:p>
      <w:pPr>
        <w:pStyle w:val="Normal"/>
        <w:ind w:firstLine="720" w:end="0"/>
        <w:rPr/>
      </w:pPr>
      <w:r>
        <w:rPr/>
        <w:t>Sixty-five years ago, the Congress decreed that prices had to be just and reasonable.  There is no exception for market-based approaches. He will concur, as the order does find that prices have been unjust and unreasonable. The order does insure that prices should return to being just and reasonable. Cited Frank Wolak as proposing there ought to be an 18-24 month forward product designed which the CPUC will years ago federal law dictated that prices had to be just and reasonable.</w:t>
      </w:r>
    </w:p>
    <w:p>
      <w:pPr>
        <w:pStyle w:val="Normal"/>
        <w:ind w:firstLine="720" w:end="0"/>
        <w:rPr/>
      </w:pPr>
      <w:r>
        <w:rPr/>
        <w:t xml:space="preserve">The $150 is a “soft cap” and allows a generator to bid above it, but if it does, it will not set the price which other generators receive. He invites comments on this issue. </w:t>
      </w:r>
    </w:p>
    <w:p>
      <w:pPr>
        <w:pStyle w:val="Normal"/>
        <w:ind w:firstLine="720" w:end="0"/>
        <w:rPr/>
      </w:pPr>
      <w:r>
        <w:rPr/>
        <w:t xml:space="preserve">With regard to retroactive refunds, the Office of the General Counsel has prepared a legal memorandum which concludes that the FERC probably does not have authority to order refunds retroactively for any date before October 2, 2000. Invites comments on this issue. </w:t>
      </w:r>
    </w:p>
    <w:p>
      <w:pPr>
        <w:pStyle w:val="Normal"/>
        <w:ind w:firstLine="720" w:end="0"/>
        <w:rPr/>
      </w:pPr>
      <w:r>
        <w:rPr/>
        <w:t xml:space="preserve">California needs new generation and transmission and the siting authority belongs to the state. California must do its part to ensure that customers do, in fact, benefit from competitive markets that ensure just and reasonable prices. </w:t>
      </w:r>
    </w:p>
    <w:p>
      <w:pPr>
        <w:pStyle w:val="Normal"/>
        <w:ind w:firstLine="720" w:end="0"/>
        <w:rPr/>
      </w:pPr>
      <w:r>
        <w:rPr/>
        <w:t xml:space="preserve">He is not yet confident that the Commission has taken all necessary steps. </w:t>
      </w:r>
    </w:p>
    <w:p>
      <w:pPr>
        <w:pStyle w:val="Normal"/>
        <w:rPr/>
      </w:pPr>
      <w:r>
        <w:rPr/>
      </w:r>
    </w:p>
    <w:p>
      <w:pPr>
        <w:pStyle w:val="Normal"/>
        <w:rPr>
          <w:b/>
          <w:bCs/>
          <w:u w:val="single"/>
        </w:rPr>
      </w:pPr>
      <w:r>
        <w:rPr>
          <w:b/>
          <w:bCs/>
          <w:u w:val="single"/>
        </w:rPr>
        <w:t>Chairman Hoecker</w:t>
      </w:r>
    </w:p>
    <w:p>
      <w:pPr>
        <w:pStyle w:val="Normal"/>
        <w:ind w:start="720" w:end="0"/>
        <w:rPr/>
      </w:pPr>
      <w:r>
        <w:rPr/>
        <w:br/>
        <w:t xml:space="preserve">He strongly supports the order. </w:t>
      </w:r>
    </w:p>
    <w:p>
      <w:pPr>
        <w:pStyle w:val="Normal"/>
        <w:ind w:firstLine="720" w:end="0"/>
        <w:rPr/>
      </w:pPr>
      <w:r>
        <w:rPr/>
        <w:t xml:space="preserve">Comments are due in three weeks. This is no time to pull punches. He cited the San Diego hearings as indicating that California markets were,  “out of synch with the needs of the digital economy.”  For FERC regulators who are used to corporate struggles among utilities and other large companies, “this was a real eye-opener.” </w:t>
      </w:r>
    </w:p>
    <w:p>
      <w:pPr>
        <w:pStyle w:val="Normal"/>
        <w:ind w:firstLine="720" w:end="0"/>
        <w:rPr/>
      </w:pPr>
      <w:r>
        <w:rPr/>
        <w:t xml:space="preserve">Average citizens had no warning this was going to happen and they had no competitive alternatives. It was unfair to them and, “there is plenty of responsibility for this meltdown to go around.” </w:t>
      </w:r>
    </w:p>
    <w:p>
      <w:pPr>
        <w:pStyle w:val="Normal"/>
        <w:ind w:firstLine="720" w:end="0"/>
        <w:rPr/>
      </w:pPr>
      <w:r>
        <w:rPr/>
        <w:t>“</w:t>
      </w:r>
      <w:r>
        <w:rPr/>
        <w:t>If I was a senior citizen in San Diego living on a fixed income, or a small business owner living on a small profit margin, or a school administrator dealing with a tight budget, the doubling of my bill would make me want my money back, or to at least ensure that this won’t happen again in the future.”</w:t>
      </w:r>
    </w:p>
    <w:p>
      <w:pPr>
        <w:pStyle w:val="Normal"/>
        <w:ind w:firstLine="720" w:end="0"/>
        <w:rPr/>
      </w:pPr>
      <w:r>
        <w:rPr/>
        <w:t>Many who expected this order, expected “a lynching and the transfer of large amounts of money. They want us to round up the bad guys who manipulated the market and order the disgorgement of their ill-gotten gains. As our legal opinion indicates, that’s not going to happen.”  Today’s order offers a thoughtful way back to a rational basis for buying and selling power in the West.</w:t>
      </w:r>
    </w:p>
    <w:p>
      <w:pPr>
        <w:pStyle w:val="Normal"/>
        <w:ind w:firstLine="720" w:end="0"/>
        <w:rPr/>
      </w:pPr>
      <w:r>
        <w:rPr/>
        <w:t xml:space="preserve">We are not ignoring actual or undue discrimination or actual abuses of market power. The order makes better market monitoring going forward a fundamental part of FERC’s proposal.  If evidence of such behavior is brought forward, FERC will act on that information. “However, we can’t delay work on a market fix while searching for the culpable parties.” </w:t>
      </w:r>
    </w:p>
    <w:p>
      <w:pPr>
        <w:pStyle w:val="Normal"/>
        <w:ind w:firstLine="720" w:end="0"/>
        <w:rPr/>
      </w:pPr>
      <w:r>
        <w:rPr/>
        <w:t xml:space="preserve">Hoecker believes that, “strong federal action is both warranted and important at this moment.”  “The bulk power grid must be made to work efficiently across the entire West.” </w:t>
      </w:r>
    </w:p>
    <w:p>
      <w:pPr>
        <w:pStyle w:val="Normal"/>
        <w:rPr/>
      </w:pPr>
      <w:r>
        <w:rPr/>
        <w:t>“</w:t>
      </w:r>
      <w:r>
        <w:rPr/>
        <w:t xml:space="preserve">Competition is at risk, make no mistake about that. In view of the California experience, several states are reconsidering or shelving plans to implement competition.”  Legislators will want to retain the possibility of returning to the old days of vertically-integrated utilities.  “The California experience has been instructive, but not helpful…to the meandering implementation of competition throughout the nation.” </w:t>
      </w:r>
    </w:p>
    <w:p>
      <w:pPr>
        <w:pStyle w:val="Normal"/>
        <w:ind w:firstLine="720" w:end="0"/>
        <w:rPr/>
      </w:pPr>
      <w:r>
        <w:rPr/>
        <w:t xml:space="preserve">The state’s markets have not been “mistakenly federalized” as alleged by some. The markets are regional. California’s access to interstate power supplies is critical, as was made evident by recent events. If we do things right, California will not be a federal enclave designed to satisfy our market predilections, it will be a workable and competitive market that benefits consumers. </w:t>
      </w:r>
    </w:p>
    <w:p>
      <w:pPr>
        <w:pStyle w:val="Normal"/>
        <w:ind w:firstLine="720" w:end="0"/>
        <w:rPr/>
      </w:pPr>
      <w:r>
        <w:rPr/>
        <w:t>“</w:t>
      </w:r>
      <w:r>
        <w:rPr/>
        <w:t xml:space="preserve">This is a strong order. It needs to be a strong order. We expect to have a strong order in December, and the public needs it.” </w:t>
      </w:r>
    </w:p>
    <w:p>
      <w:pPr>
        <w:pStyle w:val="Normal"/>
        <w:rPr/>
      </w:pPr>
      <w:r>
        <w:rPr/>
      </w:r>
    </w:p>
    <w:p>
      <w:pPr>
        <w:pStyle w:val="Body"/>
        <w:spacing w:before="0" w:after="240"/>
        <w:rPr/>
      </w:pPr>
      <w:r>
        <w:rPr/>
      </w:r>
    </w:p>
    <w:sectPr>
      <w:headerReference w:type="default" r:id="rId2"/>
      <w:headerReference w:type="first" r:id="rId3"/>
      <w:footerReference w:type="default" r:id="rId4"/>
      <w:footerReference w:type="first" r:id="rId5"/>
      <w:type w:val="nextPage"/>
      <w:pgSz w:w="12240" w:h="15840"/>
      <w:pgMar w:left="1440" w:right="1440" w:gutter="0" w:header="864" w:top="1440" w:footer="72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3048"/>
      <w:gridCol w:w="3540"/>
      <w:gridCol w:w="2880"/>
    </w:tblGrid>
    <w:tr>
      <w:trPr/>
      <w:tc>
        <w:tcPr>
          <w:tcW w:w="3048" w:type="dxa"/>
          <w:tcBorders/>
        </w:tcPr>
        <w:p>
          <w:pPr>
            <w:pStyle w:val="Footer"/>
            <w:tabs>
              <w:tab w:val="clear" w:pos="4320"/>
              <w:tab w:val="clear" w:pos="8640"/>
            </w:tabs>
            <w:snapToGrid w:val="false"/>
            <w:rPr>
              <w:rStyle w:val="FooterTxt"/>
            </w:rPr>
          </w:pPr>
          <w:r>
            <w:rPr/>
          </w:r>
        </w:p>
      </w:tc>
      <w:tc>
        <w:tcPr>
          <w:tcW w:w="3540" w:type="dxa"/>
          <w:tcBorders/>
        </w:tcPr>
        <w:p>
          <w:pPr>
            <w:pStyle w:val="Footer"/>
            <w:tabs>
              <w:tab w:val="clear" w:pos="4320"/>
              <w:tab w:val="clear" w:pos="864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c>
      <w:tc>
        <w:tcPr>
          <w:tcW w:w="2880" w:type="dxa"/>
          <w:tcBorders/>
        </w:tcPr>
        <w:p>
          <w:pPr>
            <w:pStyle w:val="Footer"/>
            <w:tabs>
              <w:tab w:val="clear" w:pos="4320"/>
              <w:tab w:val="clear" w:pos="8640"/>
            </w:tabs>
            <w:snapToGrid w:val="false"/>
            <w:jc w:val="end"/>
            <w:rPr/>
          </w:pPr>
          <w:r>
            <w:rPr/>
          </w:r>
        </w:p>
      </w:tc>
    </w:tr>
  </w:tbl>
  <w:p>
    <w:pPr>
      <w:pStyle w:val="Footer"/>
      <w:tabs>
        <w:tab w:val="clear" w:pos="4320"/>
        <w:tab w:val="clear" w:pos="8640"/>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3048"/>
      <w:gridCol w:w="3630"/>
      <w:gridCol w:w="2790"/>
    </w:tblGrid>
    <w:tr>
      <w:trPr/>
      <w:tc>
        <w:tcPr>
          <w:tcW w:w="3048" w:type="dxa"/>
          <w:tcBorders/>
        </w:tcPr>
        <w:p>
          <w:pPr>
            <w:pStyle w:val="Normal"/>
            <w:rPr>
              <w:rStyle w:val="FooterTxt"/>
            </w:rPr>
          </w:pPr>
          <w:r>
            <w:rPr>
              <w:rStyle w:val="FooterTxt"/>
            </w:rPr>
            <w:fldChar w:fldCharType="begin"/>
          </w:r>
          <w:r>
            <w:rPr>
              <w:rStyle w:val="FooterTxt"/>
            </w:rPr>
            <w:instrText xml:space="preserve"> DOCPROPERTY "DocNumber"</w:instrText>
          </w:r>
          <w:r>
            <w:rPr>
              <w:rStyle w:val="FooterTxt"/>
            </w:rPr>
            <w:fldChar w:fldCharType="separate"/>
          </w:r>
          <w:r>
            <w:rPr>
              <w:rStyle w:val="FooterTxt"/>
            </w:rPr>
            <w:t>1</w:t>
          </w:r>
          <w:r>
            <w:rPr>
              <w:rStyle w:val="FooterTxt"/>
            </w:rPr>
            <w:fldChar w:fldCharType="end"/>
          </w:r>
          <w:r>
            <w:rPr>
              <w:rStyle w:val="FooterTxt"/>
            </w:rPr>
            <w:t>.</w:t>
          </w:r>
          <w:r>
            <w:rPr>
              <w:rStyle w:val="FooterTxt"/>
            </w:rPr>
            <w:fldChar w:fldCharType="begin"/>
          </w:r>
          <w:r>
            <w:rPr>
              <w:rStyle w:val="FooterTxt"/>
            </w:rPr>
            <w:instrText xml:space="preserve"> DOCPROPERTY "DocVersion"</w:instrText>
          </w:r>
          <w:r>
            <w:rPr>
              <w:rStyle w:val="FooterTxt"/>
            </w:rPr>
            <w:fldChar w:fldCharType="separate"/>
          </w:r>
          <w:r>
            <w:rPr>
              <w:rStyle w:val="FooterTxt"/>
            </w:rPr>
            <w:t>1</w:t>
          </w:r>
          <w:r>
            <w:rPr>
              <w:rStyle w:val="FooterTxt"/>
            </w:rPr>
            <w:fldChar w:fldCharType="end"/>
          </w:r>
        </w:p>
        <w:p>
          <w:pPr>
            <w:pStyle w:val="Footer"/>
            <w:tabs>
              <w:tab w:val="clear" w:pos="4320"/>
              <w:tab w:val="clear" w:pos="8640"/>
            </w:tabs>
            <w:rPr>
              <w:rStyle w:val="FooterTxt"/>
            </w:rPr>
          </w:pPr>
          <w:r>
            <w:rPr>
              <w:rStyle w:val="FooterTxt"/>
            </w:rPr>
            <w:fldChar w:fldCharType="begin"/>
          </w:r>
          <w:r>
            <w:rPr>
              <w:rStyle w:val="FooterTxt"/>
            </w:rPr>
            <w:instrText xml:space="preserve"> DOCPROPERTY "Client"</w:instrText>
          </w:r>
          <w:r>
            <w:rPr>
              <w:rStyle w:val="FooterTxt"/>
            </w:rPr>
            <w:fldChar w:fldCharType="separate"/>
          </w:r>
          <w:r>
            <w:rPr>
              <w:rStyle w:val="FooterTxt"/>
            </w:rPr>
            <w:t xml:space="preserve"> </w:t>
          </w:r>
          <w:r>
            <w:rPr>
              <w:rStyle w:val="FooterTxt"/>
            </w:rPr>
            <w:fldChar w:fldCharType="end"/>
          </w:r>
          <w:r>
            <w:rPr>
              <w:rStyle w:val="FooterTxt"/>
            </w:rPr>
            <w:t>/</w:t>
          </w:r>
          <w:r>
            <w:rPr>
              <w:rStyle w:val="FooterTxt"/>
            </w:rPr>
            <w:fldChar w:fldCharType="begin"/>
          </w:r>
          <w:r>
            <w:rPr>
              <w:rStyle w:val="FooterTxt"/>
            </w:rPr>
            <w:instrText xml:space="preserve"> DOCPROPERTY "Matter"</w:instrText>
          </w:r>
          <w:r>
            <w:rPr>
              <w:rStyle w:val="FooterTxt"/>
            </w:rPr>
            <w:fldChar w:fldCharType="separate"/>
          </w:r>
          <w:r>
            <w:rPr>
              <w:rStyle w:val="FooterTxt"/>
            </w:rPr>
            <w:t xml:space="preserve"> </w:t>
          </w:r>
          <w:r>
            <w:rPr>
              <w:rStyle w:val="FooterTxt"/>
            </w:rPr>
            <w:fldChar w:fldCharType="end"/>
          </w:r>
        </w:p>
      </w:tc>
      <w:tc>
        <w:tcPr>
          <w:tcW w:w="3630" w:type="dxa"/>
          <w:tcBorders/>
        </w:tcPr>
        <w:p>
          <w:pPr>
            <w:pStyle w:val="Footer"/>
            <w:tabs>
              <w:tab w:val="clear" w:pos="4320"/>
              <w:tab w:val="clear" w:pos="8640"/>
            </w:tabs>
            <w:snapToGrid w:val="false"/>
            <w:jc w:val="center"/>
            <w:rPr>
              <w:rStyle w:val="FooterTxt"/>
            </w:rPr>
          </w:pPr>
          <w:r>
            <w:rPr/>
          </w:r>
        </w:p>
      </w:tc>
      <w:tc>
        <w:tcPr>
          <w:tcW w:w="2790" w:type="dxa"/>
          <w:tcBorders/>
        </w:tcPr>
        <w:p>
          <w:pPr>
            <w:pStyle w:val="Footer"/>
            <w:tabs>
              <w:tab w:val="clear" w:pos="4320"/>
              <w:tab w:val="clear" w:pos="8640"/>
            </w:tabs>
            <w:snapToGrid w:val="false"/>
            <w:jc w:val="center"/>
            <w:rPr>
              <w:rStyle w:val="FooterTxt"/>
            </w:rPr>
          </w:pPr>
          <w:r>
            <w:rPr/>
          </w:r>
        </w:p>
      </w:tc>
    </w:tr>
  </w:tbl>
  <w:p>
    <w:pPr>
      <w:pStyle w:val="Footer"/>
      <w:tabs>
        <w:tab w:val="clear" w:pos="4320"/>
        <w:tab w:val="clear" w:pos="8640"/>
      </w:tabs>
      <w:rPr>
        <w:rStyle w:val="FooterT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Lines/>
      <w:numPr>
        <w:ilvl w:val="0"/>
        <w:numId w:val="1"/>
      </w:numPr>
      <w:ind w:hanging="720" w:start="720" w:end="0"/>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720"/>
      <w:outlineLvl w:val="4"/>
    </w:pPr>
    <w:rPr>
      <w:b/>
      <w:bCs/>
    </w:rPr>
  </w:style>
  <w:style w:type="paragraph" w:styleId="Heading6">
    <w:name w:val="heading 6"/>
    <w:basedOn w:val="Normal"/>
    <w:next w:val="Normal"/>
    <w:qFormat/>
    <w:pPr>
      <w:numPr>
        <w:ilvl w:val="5"/>
        <w:numId w:val="1"/>
      </w:numPr>
      <w:ind w:hanging="720" w:start="4320" w:end="72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b/>
      <w:bCs/>
      <w:vertAlign w:val="superscript"/>
    </w:rPr>
  </w:style>
  <w:style w:type="character" w:styleId="zMemoHdg">
    <w:name w:val="zMemoHdg"/>
    <w:basedOn w:val="DefaultParagraphFont"/>
    <w:qFormat/>
    <w:rPr>
      <w:rFonts w:ascii="Times New Roman" w:hAnsi="Times New Roman" w:eastAsia="Times New Roman" w:cs="Times New Roman"/>
      <w:color w:val="000000"/>
      <w:sz w:val="24"/>
      <w:szCs w:val="24"/>
      <w:lang w:val="en-US"/>
    </w:rPr>
  </w:style>
  <w:style w:type="character" w:styleId="PageNumber">
    <w:name w:val="page number"/>
    <w:basedOn w:val="DefaultParagraphFont"/>
    <w:rPr>
      <w:sz w:val="24"/>
      <w:szCs w:val="24"/>
    </w:rPr>
  </w:style>
  <w:style w:type="character" w:styleId="FooterTxt">
    <w:name w:val="FooterTxt"/>
    <w:basedOn w:val="DefaultParagraphFont"/>
    <w:qFormat/>
    <w:rPr>
      <w:sz w:val="15"/>
      <w:szCs w:val="15"/>
    </w:rPr>
  </w:style>
  <w:style w:type="character" w:styleId="DocTitle">
    <w:name w:val="DocTitle"/>
    <w:basedOn w:val="DefaultParagraphFont"/>
    <w:qFormat/>
    <w:rPr>
      <w:b/>
      <w:bCs/>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szCs w:val="24"/>
    </w:rPr>
  </w:style>
  <w:style w:type="paragraph" w:styleId="FootnoteText">
    <w:name w:val="footnote text"/>
    <w:basedOn w:val="Normal"/>
    <w:pPr>
      <w:tabs>
        <w:tab w:val="clear" w:pos="720"/>
        <w:tab w:val="left" w:pos="360" w:leader="none"/>
      </w:tabs>
      <w:spacing w:before="0" w:after="240"/>
    </w:pPr>
    <w:rPr>
      <w:sz w:val="20"/>
      <w:szCs w:val="20"/>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Table">
    <w:name w:val="Table"/>
    <w:basedOn w:val="Normal"/>
    <w:qFormat/>
    <w:pPr>
      <w:spacing w:before="40" w:after="40"/>
    </w:pPr>
    <w:rPr/>
  </w:style>
  <w:style w:type="paragraph" w:styleId="HeadingTitle">
    <w:name w:val="Heading Title"/>
    <w:basedOn w:val="Normal"/>
    <w:next w:val="Body"/>
    <w:qFormat/>
    <w:pPr>
      <w:keepNext w:val="true"/>
      <w:keepLines/>
      <w:spacing w:before="0" w:after="240"/>
      <w:jc w:val="center"/>
    </w:pPr>
    <w:rPr>
      <w:u w:val="single"/>
    </w:rPr>
  </w:style>
  <w:style w:type="paragraph" w:styleId="TOAHeading">
    <w:name w:val="TOA Heading"/>
    <w:basedOn w:val="Normal"/>
    <w:next w:val="Normal"/>
    <w:qFormat/>
    <w:pPr>
      <w:tabs>
        <w:tab w:val="clear" w:pos="720"/>
        <w:tab w:val="right" w:pos="9360" w:leader="none"/>
      </w:tabs>
      <w:suppressAutoHyphens w:val="true"/>
    </w:pPr>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spacing w:before="0" w:after="240"/>
      <w:ind w:firstLine="720" w:start="0" w:end="0"/>
    </w:pPr>
    <w:rPr/>
  </w:style>
  <w:style w:type="paragraph" w:styleId="BodyFlush">
    <w:name w:val="BodyFlush"/>
    <w:basedOn w:val="Normal"/>
    <w:qFormat/>
    <w:pPr>
      <w:spacing w:before="240" w:after="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720" w:end="0"/>
    </w:pPr>
    <w:rPr/>
  </w:style>
  <w:style w:type="paragraph" w:styleId="Body1">
    <w:name w:val="Body1"/>
    <w:basedOn w:val="Normal"/>
    <w:qFormat/>
    <w:pPr>
      <w:spacing w:before="0" w:after="240"/>
      <w:ind w:firstLine="1440" w:start="0" w:end="0"/>
    </w:pPr>
    <w:rPr/>
  </w:style>
  <w:style w:type="paragraph" w:styleId="Center">
    <w:name w:val="Center"/>
    <w:basedOn w:val="Normal"/>
    <w:qFormat/>
    <w:pPr>
      <w:keepNext w:val="true"/>
      <w:keepLines/>
      <w:suppressAutoHyphens w:val="true"/>
      <w:spacing w:before="0" w:after="240"/>
      <w:jc w:val="center"/>
    </w:pPr>
    <w:rPr/>
  </w:style>
  <w:style w:type="paragraph" w:styleId="IndentHanging">
    <w:name w:val="Indent Hanging"/>
    <w:basedOn w:val="Normal"/>
    <w:qFormat/>
    <w:pPr>
      <w:spacing w:before="0" w:after="240"/>
      <w:ind w:hanging="720" w:start="2160" w:end="0"/>
    </w:pPr>
    <w:rPr/>
  </w:style>
  <w:style w:type="paragraph" w:styleId="IndentLR">
    <w:name w:val="Indent L/R"/>
    <w:basedOn w:val="Normal"/>
    <w:qFormat/>
    <w:pPr>
      <w:spacing w:before="0" w:after="240"/>
      <w:ind w:hanging="0" w:start="1440" w:end="1440"/>
    </w:pPr>
    <w:rPr/>
  </w:style>
  <w:style w:type="paragraph" w:styleId="IndentLeft">
    <w:name w:val="Indent Left"/>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IndentOneHalf">
    <w:name w:val="IndentOneHalf"/>
    <w:basedOn w:val="Normal"/>
    <w:qFormat/>
    <w:pPr>
      <w:spacing w:before="0" w:after="240"/>
      <w:ind w:firstLine="720" w:start="720" w:end="0"/>
    </w:pPr>
    <w:rPr/>
  </w:style>
  <w:style w:type="paragraph" w:styleId="IndentOneInch">
    <w:name w:val="IndentOneInch"/>
    <w:basedOn w:val="Normal"/>
    <w:qFormat/>
    <w:pPr>
      <w:spacing w:before="0" w:after="240"/>
      <w:ind w:firstLine="1440" w:start="1440" w:end="0"/>
    </w:pPr>
    <w:rPr/>
  </w:style>
  <w:style w:type="paragraph" w:styleId="IndentOneOneHalfInches">
    <w:name w:val="IndentOneOneHalfInches"/>
    <w:basedOn w:val="Normal"/>
    <w:qFormat/>
    <w:pPr>
      <w:spacing w:before="0" w:after="240"/>
      <w:ind w:hanging="0" w:start="2160" w:end="0"/>
    </w:pPr>
    <w:rPr/>
  </w:style>
  <w:style w:type="paragraph" w:styleId="IndentTwoInches">
    <w:name w:val="IndentTwoInches"/>
    <w:basedOn w:val="Normal"/>
    <w:qFormat/>
    <w:pPr>
      <w:spacing w:before="0" w:after="240"/>
      <w:ind w:firstLine="1440" w:start="2880" w:end="0"/>
    </w:pPr>
    <w:rPr/>
  </w:style>
  <w:style w:type="paragraph" w:styleId="zCC">
    <w:name w:val="zCC"/>
    <w:basedOn w:val="Body"/>
    <w:qFormat/>
    <w:pPr>
      <w:ind w:hanging="720" w:start="720" w:end="0"/>
    </w:pPr>
    <w:rPr/>
  </w:style>
  <w:style w:type="paragraph" w:styleId="zMemoInfo">
    <w:name w:val="zMemoInfo"/>
    <w:basedOn w:val="Normal"/>
    <w:qFormat/>
    <w:pPr>
      <w:suppressAutoHyphens w:val="true"/>
      <w:spacing w:before="66" w:after="112"/>
      <w:jc w:val="star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2000-11-01T13:30:00Z</dcterms:created>
  <dc:creator>Arter &amp; Hadden</dc:creator>
  <dc:description/>
  <dc:language>en-CA</dc:language>
  <cp:lastModifiedBy>Arter &amp; Hadden</cp:lastModifiedBy>
  <cp:lastPrinted>1996-01-01T18:32:00Z</cp:lastPrinted>
  <dcterms:modified xsi:type="dcterms:W3CDTF">2000-11-01T13:39:00Z</dcterms:modified>
  <cp:revision>3</cp:revision>
  <dc:subject/>
  <dc:title>ARTER &amp; HADDEN LLP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