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ubtitle"/>
        <w:jc w:val="start"/>
        <w:rPr>
          <w:rFonts w:ascii="Times New Roman" w:hAnsi="Times New Roman" w:cs="Times New Roman"/>
          <w:sz w:val="24"/>
          <w:u w:val="single"/>
        </w:rPr>
      </w:pPr>
      <w:r>
        <w:rPr>
          <w:rFonts w:cs="Times New Roman" w:ascii="Times New Roman" w:hAnsi="Times New Roman"/>
          <w:sz w:val="24"/>
          <w:u w:val="single"/>
        </w:rPr>
        <w:t>John Novak -- Accomplishments June 2001</w:t>
      </w:r>
    </w:p>
    <w:p>
      <w:pPr>
        <w:pStyle w:val="Normal"/>
        <w:spacing w:lineRule="atLeast" w:line="240"/>
        <w:ind w:start="720" w:end="0"/>
        <w:rPr>
          <w:rFonts w:ascii="Times New Roman" w:hAnsi="Times New Roman" w:cs="Times New Roman"/>
          <w:b/>
          <w:color w:val="000000"/>
          <w:sz w:val="24"/>
          <w:u w:val="single"/>
          <w:lang w:eastAsia="en-US"/>
        </w:rPr>
      </w:pPr>
      <w:r>
        <w:rPr>
          <w:rFonts w:cs="Times New Roman"/>
          <w:b/>
          <w:color w:val="000000"/>
          <w:sz w:val="24"/>
          <w:u w:val="single"/>
          <w:lang w:eastAsia="en-US"/>
        </w:rPr>
      </w:r>
    </w:p>
    <w:p>
      <w:pPr>
        <w:pStyle w:val="Heading2"/>
        <w:rPr/>
      </w:pPr>
      <w:r>
        <w:rPr/>
        <w:t>Transaction Support</w:t>
      </w:r>
    </w:p>
    <w:p>
      <w:pPr>
        <w:pStyle w:val="Normal"/>
        <w:numPr>
          <w:ilvl w:val="0"/>
          <w:numId w:val="2"/>
        </w:numPr>
        <w:spacing w:lineRule="atLeast" w:line="240"/>
        <w:jc w:val="both"/>
        <w:rPr>
          <w:color w:val="000000"/>
          <w:sz w:val="24"/>
          <w:lang w:eastAsia="en-US"/>
        </w:rPr>
      </w:pPr>
      <w:r>
        <w:rPr>
          <w:color w:val="000000"/>
          <w:sz w:val="24"/>
          <w:lang w:eastAsia="en-US"/>
        </w:rPr>
        <w:t xml:space="preserve">Assisted the commercial team in implementation of a creative structure for Eletrobolt to keep the project off balance sheet during development and construction and assisted in the development and structuring of the floor price mechanism on a US$ indexed basis.  (This structure was essentially copied by El Paso in their development of the Macaé project, demonstrating that we had the right solution for the legal constraints facing the project.)   </w:t>
      </w:r>
    </w:p>
    <w:p>
      <w:pPr>
        <w:pStyle w:val="Normal"/>
        <w:numPr>
          <w:ilvl w:val="0"/>
          <w:numId w:val="2"/>
        </w:numPr>
        <w:spacing w:lineRule="atLeast" w:line="240"/>
        <w:jc w:val="both"/>
        <w:rPr>
          <w:color w:val="000000"/>
          <w:sz w:val="24"/>
          <w:lang w:eastAsia="en-US"/>
        </w:rPr>
      </w:pPr>
      <w:r>
        <w:rPr>
          <w:color w:val="000000"/>
          <w:sz w:val="24"/>
          <w:lang w:eastAsia="en-US"/>
        </w:rPr>
        <w:t xml:space="preserve">Have spent approximately 50% of my time as the lead in house deal lawyer on the Cuiabá transaction, overseeing three other in house lawyers and 6 outside law firms, and participating in all major decisions regarding negotiating strategy with Furnas (PPA), Shell (partner dispute) and YPF (gas supply agreement termination/renegotiation). </w:t>
      </w:r>
    </w:p>
    <w:p>
      <w:pPr>
        <w:pStyle w:val="Normal"/>
        <w:numPr>
          <w:ilvl w:val="0"/>
          <w:numId w:val="2"/>
        </w:numPr>
        <w:spacing w:lineRule="atLeast" w:line="240"/>
        <w:jc w:val="both"/>
        <w:rPr>
          <w:color w:val="000000"/>
          <w:sz w:val="24"/>
          <w:lang w:eastAsia="en-US"/>
        </w:rPr>
      </w:pPr>
      <w:r>
        <w:rPr>
          <w:color w:val="000000"/>
          <w:sz w:val="24"/>
          <w:lang w:eastAsia="en-US"/>
        </w:rPr>
        <w:t>Responsible for legal support on execution of the TBG interruptible gas transportation agreement, part of the “Crazy Molecule” effort to break Petrobras’ de facto monopoly on the gas transportation market in Brazil.</w:t>
      </w:r>
    </w:p>
    <w:p>
      <w:pPr>
        <w:pStyle w:val="Normal"/>
        <w:numPr>
          <w:ilvl w:val="0"/>
          <w:numId w:val="2"/>
        </w:numPr>
        <w:spacing w:lineRule="atLeast" w:line="240"/>
        <w:jc w:val="both"/>
        <w:rPr>
          <w:color w:val="000000"/>
          <w:sz w:val="24"/>
          <w:lang w:eastAsia="en-US"/>
        </w:rPr>
      </w:pPr>
      <w:r>
        <w:rPr>
          <w:color w:val="000000"/>
          <w:sz w:val="24"/>
          <w:lang w:eastAsia="en-US"/>
        </w:rPr>
        <w:t>After extensive analysis and review with outside and in house counsel, we proposed and received approval of a modification of Enron Corp's arbitration policy to improve enforceability of awards and facilitate development of the trading business in Brazil by permitting in country arbitration without prejudicing Enron's position in eventual in-country proceedings.</w:t>
      </w:r>
    </w:p>
    <w:p>
      <w:pPr>
        <w:pStyle w:val="Heading3"/>
        <w:rPr>
          <w:color w:val="000000"/>
          <w:sz w:val="24"/>
          <w:lang w:eastAsia="en-US"/>
        </w:rPr>
      </w:pPr>
      <w:r>
        <w:rPr>
          <w:color w:val="000000"/>
          <w:sz w:val="24"/>
          <w:lang w:eastAsia="en-US"/>
        </w:rPr>
      </w:r>
    </w:p>
    <w:p>
      <w:pPr>
        <w:pStyle w:val="Heading3"/>
        <w:rPr/>
      </w:pPr>
      <w:r>
        <w:rPr/>
        <w:t>Legal Department Management</w:t>
      </w:r>
    </w:p>
    <w:p>
      <w:pPr>
        <w:pStyle w:val="Normal"/>
        <w:numPr>
          <w:ilvl w:val="0"/>
          <w:numId w:val="2"/>
        </w:numPr>
        <w:spacing w:lineRule="atLeast" w:line="240"/>
        <w:jc w:val="both"/>
        <w:rPr>
          <w:color w:val="000000"/>
          <w:sz w:val="24"/>
          <w:lang w:eastAsia="en-US"/>
        </w:rPr>
      </w:pPr>
      <w:r>
        <w:rPr>
          <w:color w:val="000000"/>
          <w:sz w:val="24"/>
          <w:lang w:eastAsia="en-US"/>
        </w:rPr>
        <w:t>Improved oversight of Elektro legal department and improved information flow and reporting from Elektro.  In addition, have personally been involved in decisions to bring suits in two important tariff cases, one of which resulted in an injunction that has protected Elektro’s cash flow pending outcome of the litigation.</w:t>
      </w:r>
    </w:p>
    <w:p>
      <w:pPr>
        <w:pStyle w:val="Normal"/>
        <w:numPr>
          <w:ilvl w:val="0"/>
          <w:numId w:val="2"/>
        </w:numPr>
        <w:spacing w:lineRule="atLeast" w:line="240"/>
        <w:jc w:val="both"/>
        <w:rPr>
          <w:color w:val="000000"/>
          <w:sz w:val="24"/>
          <w:lang w:eastAsia="en-US"/>
        </w:rPr>
      </w:pPr>
      <w:r>
        <w:rPr>
          <w:color w:val="000000"/>
          <w:sz w:val="24"/>
          <w:lang w:eastAsia="en-US"/>
        </w:rPr>
        <w:t>Reviewed legal activities and work load in the Buenos Aires office and, based on this review, improved productivity of the BA lawyers by deploying Fabian Valle on the Eletrobolt transaction out of the São Paulo office and adding regulatory responsibilities to Andrea Calo’s area, helping to temporarily avoid having to hire a replacement regulatory person in BA while we see how that market develops.</w:t>
      </w:r>
    </w:p>
    <w:p>
      <w:pPr>
        <w:pStyle w:val="Normal"/>
        <w:numPr>
          <w:ilvl w:val="0"/>
          <w:numId w:val="2"/>
        </w:numPr>
        <w:spacing w:lineRule="atLeast" w:line="240"/>
        <w:jc w:val="both"/>
        <w:rPr>
          <w:color w:val="000000"/>
          <w:sz w:val="24"/>
          <w:lang w:eastAsia="en-US"/>
        </w:rPr>
      </w:pPr>
      <w:r>
        <w:rPr>
          <w:color w:val="000000"/>
          <w:sz w:val="24"/>
          <w:lang w:eastAsia="en-US"/>
        </w:rPr>
        <w:t>Reimplemented weekly staff meetings with all lawyers in the region to improve information flow internally within the ESA legal department.  Have also regularly participated in weekly staff meetings with EWS lawyers to improve information flow from the region to Houston.</w:t>
      </w:r>
    </w:p>
    <w:p>
      <w:pPr>
        <w:pStyle w:val="Normal"/>
        <w:numPr>
          <w:ilvl w:val="0"/>
          <w:numId w:val="2"/>
        </w:numPr>
        <w:spacing w:lineRule="atLeast" w:line="240"/>
        <w:jc w:val="both"/>
        <w:rPr>
          <w:color w:val="000000"/>
          <w:sz w:val="24"/>
          <w:lang w:eastAsia="en-US"/>
        </w:rPr>
      </w:pPr>
      <w:r>
        <w:rPr>
          <w:sz w:val="24"/>
        </w:rPr>
        <w:t>Currently, actively recruiting lawyers for Elektro (1), Cuiabá (1), Gas Business Unit (1) and Trading/Origination (1) and we are close to filling all of these positions.  Recruiting has not been made easier by the highly publicized restructuring and shift in business plan from the end of last year, which has resulting in uncertainty among many candidates as to the future of Enron’s business in the region.  Our ability to continue to attract quality candidates speaks highly of the individuals in the ESA legal department and the continued perceived opportunities at Enron in South America.</w:t>
      </w:r>
    </w:p>
    <w:p>
      <w:pPr>
        <w:pStyle w:val="Normal"/>
        <w:numPr>
          <w:ilvl w:val="0"/>
          <w:numId w:val="2"/>
        </w:numPr>
        <w:spacing w:lineRule="atLeast" w:line="240"/>
        <w:jc w:val="both"/>
        <w:rPr>
          <w:color w:val="000000"/>
          <w:sz w:val="24"/>
          <w:lang w:eastAsia="en-US"/>
        </w:rPr>
      </w:pPr>
      <w:r>
        <w:rPr>
          <w:sz w:val="24"/>
        </w:rPr>
        <w:t>Negotiated a favorable secondment arrangement with one of our local firms (Pinheiro Neto) to provide a full time mid level lawyer at our Rio office to cover the Gas Business Unit while we search for a replacement for Paula Porto.</w:t>
      </w:r>
    </w:p>
    <w:p>
      <w:pPr>
        <w:pStyle w:val="Normal"/>
        <w:spacing w:lineRule="atLeast" w:line="240"/>
        <w:ind w:start="720" w:end="0"/>
        <w:rPr>
          <w:color w:val="000000"/>
          <w:sz w:val="24"/>
          <w:lang w:eastAsia="en-US"/>
        </w:rPr>
      </w:pPr>
      <w:r>
        <w:rPr>
          <w:color w:val="000000"/>
          <w:sz w:val="24"/>
          <w:lang w:eastAsia="en-US"/>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080"/>
        </w:tabs>
        <w:ind w:start="1080" w:hanging="360"/>
      </w:pPr>
      <w:rPr>
        <w:rFonts w:ascii="Wingdings" w:hAnsi="Wingdings" w:cs="Wingdings" w:hint="default"/>
      </w:rPr>
    </w:lvl>
    <w:lvl w:ilvl="1">
      <w:start w:val="1"/>
      <w:numFmt w:val="bullet"/>
      <w:lvlText w:val="o"/>
      <w:lvlJc w:val="start"/>
      <w:pPr>
        <w:tabs>
          <w:tab w:val="num" w:pos="2160"/>
        </w:tabs>
        <w:ind w:start="2160" w:hanging="360"/>
      </w:pPr>
      <w:rPr>
        <w:rFonts w:ascii="Courier New" w:hAnsi="Courier New" w:cs="Courier New" w:hint="default"/>
      </w:rPr>
    </w:lvl>
    <w:lvl w:ilvl="2">
      <w:start w:val="1"/>
      <w:numFmt w:val="bullet"/>
      <w:lvlText w:val=""/>
      <w:lvlJc w:val="start"/>
      <w:pPr>
        <w:tabs>
          <w:tab w:val="num" w:pos="2880"/>
        </w:tabs>
        <w:ind w:start="2880" w:hanging="360"/>
      </w:pPr>
      <w:rPr>
        <w:rFonts w:ascii="Wingdings" w:hAnsi="Wingdings" w:cs="Wingdings" w:hint="default"/>
      </w:rPr>
    </w:lvl>
    <w:lvl w:ilvl="3">
      <w:start w:val="1"/>
      <w:numFmt w:val="bullet"/>
      <w:lvlText w:val=""/>
      <w:lvlJc w:val="start"/>
      <w:pPr>
        <w:tabs>
          <w:tab w:val="num" w:pos="3600"/>
        </w:tabs>
        <w:ind w:start="3600" w:hanging="360"/>
      </w:pPr>
      <w:rPr>
        <w:rFonts w:ascii="Symbol" w:hAnsi="Symbol" w:cs="Symbol" w:hint="default"/>
      </w:rPr>
    </w:lvl>
    <w:lvl w:ilvl="4">
      <w:start w:val="1"/>
      <w:numFmt w:val="bullet"/>
      <w:lvlText w:val="o"/>
      <w:lvlJc w:val="start"/>
      <w:pPr>
        <w:tabs>
          <w:tab w:val="num" w:pos="4320"/>
        </w:tabs>
        <w:ind w:start="4320" w:hanging="360"/>
      </w:pPr>
      <w:rPr>
        <w:rFonts w:ascii="Courier New" w:hAnsi="Courier New" w:cs="Courier New" w:hint="default"/>
      </w:rPr>
    </w:lvl>
    <w:lvl w:ilvl="5">
      <w:start w:val="1"/>
      <w:numFmt w:val="bullet"/>
      <w:lvlText w:val=""/>
      <w:lvlJc w:val="start"/>
      <w:pPr>
        <w:tabs>
          <w:tab w:val="num" w:pos="5040"/>
        </w:tabs>
        <w:ind w:start="5040" w:hanging="360"/>
      </w:pPr>
      <w:rPr>
        <w:rFonts w:ascii="Wingdings" w:hAnsi="Wingdings" w:cs="Wingdings" w:hint="default"/>
      </w:rPr>
    </w:lvl>
    <w:lvl w:ilvl="6">
      <w:start w:val="1"/>
      <w:numFmt w:val="bullet"/>
      <w:lvlText w:val=""/>
      <w:lvlJc w:val="start"/>
      <w:pPr>
        <w:tabs>
          <w:tab w:val="num" w:pos="5760"/>
        </w:tabs>
        <w:ind w:start="5760" w:hanging="360"/>
      </w:pPr>
      <w:rPr>
        <w:rFonts w:ascii="Symbol" w:hAnsi="Symbol" w:cs="Symbol" w:hint="default"/>
      </w:rPr>
    </w:lvl>
    <w:lvl w:ilvl="7">
      <w:start w:val="1"/>
      <w:numFmt w:val="bullet"/>
      <w:lvlText w:val="o"/>
      <w:lvlJc w:val="start"/>
      <w:pPr>
        <w:tabs>
          <w:tab w:val="num" w:pos="6480"/>
        </w:tabs>
        <w:ind w:start="6480" w:hanging="360"/>
      </w:pPr>
      <w:rPr>
        <w:rFonts w:ascii="Courier New" w:hAnsi="Courier New" w:cs="Courier New" w:hint="default"/>
      </w:rPr>
    </w:lvl>
    <w:lvl w:ilvl="8">
      <w:start w:val="1"/>
      <w:numFmt w:val="bullet"/>
      <w:lvlText w:val=""/>
      <w:lvlJc w:val="start"/>
      <w:pPr>
        <w:tabs>
          <w:tab w:val="num" w:pos="7200"/>
        </w:tabs>
        <w:ind w:start="720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rFonts w:ascii="Arial" w:hAnsi="Arial" w:cs="Arial"/>
      <w:sz w:val="24"/>
    </w:rPr>
  </w:style>
  <w:style w:type="paragraph" w:styleId="Heading2">
    <w:name w:val="heading 2"/>
    <w:basedOn w:val="Normal"/>
    <w:next w:val="Normal"/>
    <w:qFormat/>
    <w:pPr>
      <w:keepNext w:val="true"/>
      <w:numPr>
        <w:ilvl w:val="1"/>
        <w:numId w:val="1"/>
      </w:numPr>
      <w:spacing w:lineRule="atLeast" w:line="240"/>
      <w:ind w:hanging="0" w:start="720" w:end="0"/>
      <w:outlineLvl w:val="1"/>
    </w:pPr>
    <w:rPr>
      <w:b/>
      <w:i/>
      <w:color w:val="000000"/>
      <w:sz w:val="24"/>
      <w:lang w:eastAsia="en-US"/>
    </w:rPr>
  </w:style>
  <w:style w:type="paragraph" w:styleId="Heading3">
    <w:name w:val="heading 3"/>
    <w:basedOn w:val="Normal"/>
    <w:next w:val="Normal"/>
    <w:qFormat/>
    <w:pPr>
      <w:keepNext w:val="true"/>
      <w:numPr>
        <w:ilvl w:val="2"/>
        <w:numId w:val="1"/>
      </w:numPr>
      <w:spacing w:lineRule="atLeast" w:line="240"/>
      <w:ind w:hanging="0" w:start="720" w:end="0"/>
      <w:jc w:val="both"/>
      <w:outlineLvl w:val="2"/>
    </w:pPr>
    <w:rPr>
      <w:b/>
      <w:i/>
      <w:color w:val="000000"/>
      <w:sz w:val="24"/>
      <w:lang w:eastAsia="en-US"/>
    </w:rPr>
  </w:style>
  <w:style w:type="character" w:styleId="WW8Num1z0">
    <w:name w:val="WW8Num1z0"/>
    <w:qFormat/>
    <w:rPr>
      <w:rFonts w:ascii="Symbol" w:hAnsi="Symbol" w:cs="Symbol"/>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b/>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rFonts w:ascii="Arial" w:hAnsi="Arial" w:cs="Arial"/>
      <w:b/>
      <w:sz w:val="22"/>
    </w:rPr>
  </w:style>
  <w:style w:type="paragraph" w:styleId="BodyTextIndent2">
    <w:name w:val="Body Text Indent 2"/>
    <w:basedOn w:val="Normal"/>
    <w:qFormat/>
    <w:pPr>
      <w:spacing w:lineRule="atLeast" w:line="240"/>
      <w:ind w:hanging="0" w:start="720" w:end="0"/>
      <w:jc w:val="both"/>
    </w:pPr>
    <w:rPr>
      <w:color w:val="000000"/>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2001-06-04T11:53:00Z</dcterms:created>
  <dc:creator>ESA</dc:creator>
  <dc:description/>
  <dc:language>en-CA</dc:language>
  <cp:lastModifiedBy>ESA</cp:lastModifiedBy>
  <dcterms:modified xsi:type="dcterms:W3CDTF">2001-06-04T12:49:00Z</dcterms:modified>
  <cp:revision>2</cp:revision>
  <dc:subject/>
  <dc:title>Accomplishments 2001</dc:title>
</cp:coreProperties>
</file>