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32"/>
        </w:rPr>
      </w:pPr>
      <w:r>
        <w:rPr>
          <w:rFonts w:cs="Arial Black" w:ascii="Arial Black" w:hAnsi="Arial Black"/>
          <w:sz w:val="32"/>
        </w:rPr>
        <w:t xml:space="preserve">Proposal for </w:t>
      </w:r>
    </w:p>
    <w:p>
      <w:pPr>
        <w:pStyle w:val="Normal"/>
        <w:jc w:val="center"/>
        <w:rPr>
          <w:rFonts w:ascii="Arial Black" w:hAnsi="Arial Black" w:cs="Arial Black"/>
          <w:sz w:val="32"/>
        </w:rPr>
      </w:pPr>
      <w:r>
        <w:rPr>
          <w:rFonts w:cs="Arial Black" w:ascii="Arial Black" w:hAnsi="Arial Black"/>
          <w:sz w:val="32"/>
        </w:rPr>
        <w:t>Energy Cost Optimization,</w:t>
      </w:r>
    </w:p>
    <w:p>
      <w:pPr>
        <w:pStyle w:val="Normal"/>
        <w:jc w:val="center"/>
        <w:rPr>
          <w:rFonts w:ascii="Arial Black" w:hAnsi="Arial Black" w:cs="Arial Black"/>
          <w:sz w:val="32"/>
        </w:rPr>
      </w:pPr>
      <w:r>
        <w:rPr>
          <w:rFonts w:cs="Arial Black" w:ascii="Arial Black" w:hAnsi="Arial Black"/>
          <w:sz w:val="32"/>
        </w:rPr>
        <w:t>Electric Power Supply,</w:t>
      </w:r>
    </w:p>
    <w:p>
      <w:pPr>
        <w:pStyle w:val="Normal"/>
        <w:jc w:val="center"/>
        <w:rPr>
          <w:rFonts w:ascii="Arial Black" w:hAnsi="Arial Black" w:cs="Arial Black"/>
          <w:sz w:val="32"/>
        </w:rPr>
      </w:pPr>
      <w:r>
        <w:rPr>
          <w:rFonts w:cs="Arial Black" w:ascii="Arial Black" w:hAnsi="Arial Black"/>
          <w:sz w:val="32"/>
        </w:rPr>
        <w:t>and</w:t>
      </w:r>
    </w:p>
    <w:p>
      <w:pPr>
        <w:pStyle w:val="Normal"/>
        <w:jc w:val="center"/>
        <w:rPr>
          <w:rFonts w:ascii="Arial Black" w:hAnsi="Arial Black" w:cs="Arial Black"/>
          <w:sz w:val="32"/>
        </w:rPr>
      </w:pPr>
      <w:r>
        <w:rPr>
          <w:rFonts w:cs="Arial Black" w:ascii="Arial Black" w:hAnsi="Arial Black"/>
          <w:sz w:val="32"/>
        </w:rPr>
        <w:t>Natural Gas Supply</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rFonts w:ascii="Arial Black" w:hAnsi="Arial Black" w:cs="Arial Black"/>
          <w:sz w:val="24"/>
        </w:rPr>
      </w:pPr>
      <w:r>
        <w:rPr>
          <w:rFonts w:cs="Arial Black" w:ascii="Arial Black" w:hAnsi="Arial Black"/>
          <w:sz w:val="24"/>
        </w:rPr>
        <w:t xml:space="preserve">November 19,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ENRON NORTH AMERICA CORPORATION</w:t>
      </w:r>
    </w:p>
    <w:p>
      <w:pPr>
        <w:pStyle w:val="Normal"/>
        <w:jc w:val="center"/>
        <w:rPr>
          <w:rFonts w:ascii="Arial Black" w:hAnsi="Arial Black" w:cs="Arial Black"/>
          <w:color w:val="000000"/>
          <w:sz w:val="24"/>
        </w:rPr>
      </w:pPr>
      <w:r>
        <w:rPr>
          <w:rFonts w:cs="Arial Black" w:ascii="Arial Black" w:hAnsi="Arial Black"/>
          <w:color w:val="000000"/>
          <w:sz w:val="24"/>
        </w:rPr>
        <w:t>121 SW Salmon St. 3WTC0306</w:t>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color w:val="000000"/>
          <w:sz w:val="24"/>
        </w:rPr>
      </w:pPr>
      <w:r>
        <w:rPr>
          <w:rFonts w:cs="Arial Black" w:ascii="Arial Black" w:hAnsi="Arial Black"/>
          <w:color w:val="000000"/>
          <w:sz w:val="24"/>
        </w:rPr>
        <w:t>Portland, OR 97204</w:t>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8"/>
        </w:rPr>
        <w:t xml:space="preserve">Proposal for </w:t>
      </w:r>
    </w:p>
    <w:p>
      <w:pPr>
        <w:pStyle w:val="Normal"/>
        <w:jc w:val="center"/>
        <w:rPr>
          <w:rFonts w:ascii="Arial Black" w:hAnsi="Arial Black" w:cs="Arial Black"/>
          <w:sz w:val="28"/>
        </w:rPr>
      </w:pPr>
      <w:r>
        <w:rPr>
          <w:rFonts w:cs="Arial Black" w:ascii="Arial Black" w:hAnsi="Arial Black"/>
          <w:sz w:val="28"/>
        </w:rPr>
        <w:t>Energy Cost Optimization,</w:t>
      </w:r>
    </w:p>
    <w:p>
      <w:pPr>
        <w:pStyle w:val="Normal"/>
        <w:jc w:val="center"/>
        <w:rPr>
          <w:rFonts w:ascii="Arial Black" w:hAnsi="Arial Black" w:cs="Arial Black"/>
          <w:sz w:val="28"/>
        </w:rPr>
      </w:pPr>
      <w:r>
        <w:rPr>
          <w:rFonts w:cs="Arial Black" w:ascii="Arial Black" w:hAnsi="Arial Black"/>
          <w:sz w:val="28"/>
        </w:rPr>
        <w:t>Electric Power Supply</w:t>
      </w:r>
    </w:p>
    <w:p>
      <w:pPr>
        <w:pStyle w:val="Normal"/>
        <w:jc w:val="center"/>
        <w:rPr>
          <w:rFonts w:ascii="Arial Black" w:hAnsi="Arial Black" w:cs="Arial Black"/>
          <w:sz w:val="28"/>
        </w:rPr>
      </w:pPr>
      <w:r>
        <w:rPr>
          <w:rFonts w:cs="Arial Black" w:ascii="Arial Black" w:hAnsi="Arial Black"/>
          <w:sz w:val="28"/>
        </w:rPr>
        <w:t>and</w:t>
      </w:r>
    </w:p>
    <w:p>
      <w:pPr>
        <w:pStyle w:val="Normal"/>
        <w:jc w:val="center"/>
        <w:rPr>
          <w:rFonts w:ascii="Arial Black" w:hAnsi="Arial Black" w:cs="Arial Black"/>
          <w:sz w:val="28"/>
        </w:rPr>
      </w:pPr>
      <w:r>
        <w:rPr>
          <w:rFonts w:cs="Arial Black" w:ascii="Arial Black" w:hAnsi="Arial Black"/>
          <w:sz w:val="28"/>
        </w:rPr>
        <w:t>Natural Gas Supply</w:t>
      </w:r>
    </w:p>
    <w:p>
      <w:pPr>
        <w:pStyle w:val="BodyText2"/>
        <w:rPr>
          <w:rFonts w:ascii="Arial Black" w:hAnsi="Arial Black" w:cs="Arial Black"/>
          <w:sz w:val="20"/>
        </w:rPr>
      </w:pPr>
      <w:r>
        <w:rPr>
          <w:rFonts w:cs="Arial Black" w:ascii="Arial Black" w:hAnsi="Arial Black"/>
          <w:sz w:val="20"/>
        </w:rPr>
      </w:r>
    </w:p>
    <w:p>
      <w:pPr>
        <w:pStyle w:val="BodyText"/>
        <w:rPr/>
      </w:pPr>
      <w:r>
        <w:rPr>
          <w:b/>
        </w:rPr>
        <w:t>CONFIDENTIAL</w:t>
      </w:r>
      <w:r>
        <w:rPr>
          <w:b/>
          <w:bCs/>
        </w:rPr>
        <w:t>:</w:t>
      </w:r>
    </w:p>
    <w:p>
      <w:pPr>
        <w:pStyle w:val="BodyText"/>
        <w:rPr/>
      </w:pPr>
      <w:r>
        <w:rPr/>
      </w:r>
    </w:p>
    <w:p>
      <w:pPr>
        <w:pStyle w:val="BodyText"/>
        <w:rPr/>
      </w:pPr>
      <w:r>
        <w:rPr>
          <w:sz w:val="24"/>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SP Newsprint Co. (“SP”) accords its own proprietary information. </w:t>
        <w:br/>
      </w: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ind w:start="720" w:end="0"/>
        <w:rPr/>
      </w:pPr>
      <w:r>
        <w:rPr/>
      </w:r>
    </w:p>
    <w:p>
      <w:pPr>
        <w:pStyle w:val="BodyText"/>
        <w:numPr>
          <w:ilvl w:val="0"/>
          <w:numId w:val="6"/>
        </w:numPr>
        <w:rPr/>
      </w:pPr>
      <w:r>
        <w:rPr/>
        <w:t xml:space="preserve">Dave Fuller, Manager ENA, </w:t>
        <w:tab/>
        <w:t>(503) 464-3732</w:t>
        <w:tab/>
        <w:tab/>
        <w:t>Portland</w:t>
      </w:r>
    </w:p>
    <w:p>
      <w:pPr>
        <w:pStyle w:val="BodyText"/>
        <w:rPr/>
      </w:pPr>
      <w:r>
        <w:rPr/>
      </w:r>
    </w:p>
    <w:p>
      <w:pPr>
        <w:pStyle w:val="BodyText"/>
        <w:rPr>
          <w:rFonts w:ascii="Times" w:hAnsi="Times" w:cs="Times"/>
          <w:b/>
        </w:rPr>
      </w:pPr>
      <w:r>
        <w:rPr>
          <w:rFonts w:cs="Times" w:ascii="Times" w:hAnsi="Times"/>
          <w:b/>
        </w:rPr>
        <w:t>QUALIFICATIONS:</w:t>
      </w:r>
    </w:p>
    <w:p>
      <w:pPr>
        <w:pStyle w:val="BodyText"/>
        <w:rPr>
          <w:rFonts w:ascii="Times" w:hAnsi="Times" w:cs="Times"/>
          <w:b/>
        </w:rPr>
      </w:pPr>
      <w:r>
        <w:rPr>
          <w:rFonts w:cs="Times" w:ascii="Times" w:hAnsi="Times"/>
          <w:b/>
        </w:rPr>
      </w:r>
    </w:p>
    <w:p>
      <w:pPr>
        <w:pStyle w:val="Normal"/>
        <w:tabs>
          <w:tab w:val="left" w:pos="720" w:leader="none"/>
          <w:tab w:val="left" w:pos="1260" w:leader="none"/>
        </w:tabs>
        <w:rPr>
          <w:sz w:val="24"/>
        </w:rPr>
      </w:pPr>
      <w:r>
        <w:rPr>
          <w:sz w:val="24"/>
        </w:rPr>
        <w:t xml:space="preserve">Enron is a global integrated energy company.  We handle more natural gas than any company in the world.  We have contractual agreements on gas pipelines across the country, including the Rocky Mountains and Pacific Northwest.  For the year 2000, Enron averaged 23.9 billion cubic feet per day of gas transactions – more than double that of our closest competitor.  </w:t>
      </w:r>
    </w:p>
    <w:p>
      <w:pPr>
        <w:pStyle w:val="Normal"/>
        <w:tabs>
          <w:tab w:val="left" w:pos="720" w:leader="none"/>
          <w:tab w:val="left" w:pos="1260" w:leader="none"/>
        </w:tabs>
        <w:rPr>
          <w:sz w:val="24"/>
        </w:rPr>
      </w:pPr>
      <w:r>
        <w:rPr>
          <w:sz w:val="24"/>
        </w:rPr>
      </w:r>
    </w:p>
    <w:p>
      <w:pPr>
        <w:pStyle w:val="BodyText2"/>
        <w:autoSpaceDE w:val="false"/>
        <w:rPr>
          <w:szCs w:val="24"/>
        </w:rPr>
      </w:pPr>
      <w:r>
        <w:rPr>
          <w:szCs w:val="24"/>
        </w:rPr>
        <w:t>Dynegy Inc. (NYSE: DYN) and Enron Corp. have announced the execution of a definitive agreement for a merger of the two companies. The combined company, to be called Dynegy Inc., will be headquartered in Houston, Texas. The new company will focus on the core businesses of North American and European wholesale energy markets and commercial and industrial energy users, and will capitalize on the opportunities generated by the combined company’s diversified asset-backed network supported</w:t>
      </w:r>
    </w:p>
    <w:p>
      <w:pPr>
        <w:pStyle w:val="Normal"/>
        <w:tabs>
          <w:tab w:val="left" w:pos="720" w:leader="none"/>
          <w:tab w:val="left" w:pos="1260" w:leader="none"/>
        </w:tabs>
        <w:rPr>
          <w:sz w:val="24"/>
          <w:szCs w:val="24"/>
        </w:rPr>
      </w:pPr>
      <w:r>
        <w:rPr>
          <w:sz w:val="24"/>
          <w:szCs w:val="24"/>
        </w:rPr>
        <w:t>by the strongest intellectual capital in the industry.  If you have any questions about any aspects of the merged company please contact Dave Fuller at the number above.</w:t>
      </w:r>
    </w:p>
    <w:p>
      <w:pPr>
        <w:pStyle w:val="Normal"/>
        <w:tabs>
          <w:tab w:val="left" w:pos="720" w:leader="none"/>
          <w:tab w:val="left" w:pos="1260" w:leader="none"/>
        </w:tabs>
        <w:rPr>
          <w:sz w:val="24"/>
          <w:szCs w:val="24"/>
        </w:rPr>
      </w:pPr>
      <w:r>
        <w:rPr>
          <w:sz w:val="24"/>
          <w:szCs w:val="24"/>
        </w:rPr>
      </w:r>
    </w:p>
    <w:p>
      <w:pPr>
        <w:pStyle w:val="Normal"/>
        <w:tabs>
          <w:tab w:val="left" w:pos="720" w:leader="none"/>
          <w:tab w:val="left" w:pos="1260" w:leader="none"/>
        </w:tabs>
        <w:rPr>
          <w:color w:val="000000"/>
          <w:sz w:val="24"/>
        </w:rPr>
      </w:pPr>
      <w:r>
        <w:rPr>
          <w:color w:val="000000"/>
          <w:sz w:val="24"/>
        </w:rPr>
        <w:t xml:space="preserve">In addition to natural gas supply, ENA has the capability to work with SP Newsprint to financially optimize the utilization and economics of its proposed power generation plant along with the overall energy consumption needs of the mill.  ENA is capable of delivering firm power as needed until the plant is fully operational at the end of 2003 or beyond.  In addition, EPMI's Services Desk is staffed 24 x 7 assisting generators throughout the WSCC with the economic dispatching of their facilities or the off-set of utility energy.  </w:t>
      </w:r>
    </w:p>
    <w:p>
      <w:pPr>
        <w:pStyle w:val="Normal"/>
        <w:rPr>
          <w:sz w:val="22"/>
        </w:rPr>
      </w:pPr>
      <w:r>
        <w:rPr>
          <w:b/>
          <w:bCs/>
          <w:sz w:val="22"/>
        </w:rPr>
        <w:t>PROPOSAL:</w:t>
      </w:r>
    </w:p>
    <w:p>
      <w:pPr>
        <w:pStyle w:val="Normal"/>
        <w:rPr>
          <w:b/>
          <w:bCs/>
          <w:sz w:val="22"/>
          <w:u w:val="single"/>
        </w:rPr>
      </w:pPr>
      <w:r>
        <w:rPr>
          <w:b/>
          <w:bCs/>
          <w:sz w:val="22"/>
          <w:u w:val="single"/>
        </w:rPr>
      </w:r>
    </w:p>
    <w:p>
      <w:pPr>
        <w:pStyle w:val="BodyText"/>
        <w:rPr>
          <w:sz w:val="24"/>
        </w:rPr>
      </w:pPr>
      <w:r>
        <w:rPr>
          <w:sz w:val="24"/>
        </w:rPr>
        <w:t>ENA can make available to SP the following energy commodities and services.</w:t>
      </w:r>
    </w:p>
    <w:p>
      <w:pPr>
        <w:pStyle w:val="Normal"/>
        <w:rPr>
          <w:sz w:val="24"/>
        </w:rPr>
      </w:pPr>
      <w:r>
        <w:rPr>
          <w:sz w:val="24"/>
        </w:rPr>
      </w:r>
    </w:p>
    <w:p>
      <w:pPr>
        <w:pStyle w:val="Normal"/>
        <w:numPr>
          <w:ilvl w:val="0"/>
          <w:numId w:val="4"/>
        </w:numPr>
        <w:rPr>
          <w:sz w:val="24"/>
        </w:rPr>
      </w:pPr>
      <w:r>
        <w:rPr>
          <w:sz w:val="24"/>
        </w:rPr>
        <w:t>Firm electric power starting March 1, 2002 through commissioning of SP’s new generator in 2003.</w:t>
      </w:r>
    </w:p>
    <w:p>
      <w:pPr>
        <w:pStyle w:val="Normal"/>
        <w:numPr>
          <w:ilvl w:val="0"/>
          <w:numId w:val="4"/>
        </w:numPr>
        <w:rPr>
          <w:sz w:val="24"/>
        </w:rPr>
      </w:pPr>
      <w:r>
        <w:rPr>
          <w:sz w:val="24"/>
        </w:rPr>
        <w:t>Firm natural gas supply for whatever term is desired once the generator is commissioned.</w:t>
      </w:r>
    </w:p>
    <w:p>
      <w:pPr>
        <w:pStyle w:val="Normal"/>
        <w:numPr>
          <w:ilvl w:val="0"/>
          <w:numId w:val="4"/>
        </w:numPr>
        <w:rPr>
          <w:sz w:val="24"/>
        </w:rPr>
      </w:pPr>
      <w:r>
        <w:rPr>
          <w:sz w:val="24"/>
        </w:rPr>
        <w:t>Natural gas on an as-needed basis once the generator is commissioned.</w:t>
      </w:r>
    </w:p>
    <w:p>
      <w:pPr>
        <w:pStyle w:val="Normal"/>
        <w:numPr>
          <w:ilvl w:val="0"/>
          <w:numId w:val="4"/>
        </w:numPr>
        <w:rPr>
          <w:sz w:val="24"/>
        </w:rPr>
      </w:pPr>
      <w:r>
        <w:rPr>
          <w:sz w:val="24"/>
        </w:rPr>
        <w:t>Energy cost minimization - power when market power is cheaper than self generated power and natural gas when market power is more expensive.</w:t>
      </w:r>
    </w:p>
    <w:p>
      <w:pPr>
        <w:pStyle w:val="Normal"/>
        <w:numPr>
          <w:ilvl w:val="0"/>
          <w:numId w:val="4"/>
        </w:numPr>
        <w:rPr>
          <w:sz w:val="24"/>
        </w:rPr>
      </w:pPr>
      <w:r>
        <w:rPr>
          <w:sz w:val="24"/>
        </w:rPr>
        <w:t>Remarketing of firm gas or power supplies.</w:t>
      </w:r>
    </w:p>
    <w:p>
      <w:pPr>
        <w:pStyle w:val="Normal"/>
        <w:numPr>
          <w:ilvl w:val="0"/>
          <w:numId w:val="4"/>
        </w:numPr>
        <w:rPr>
          <w:sz w:val="24"/>
        </w:rPr>
      </w:pPr>
      <w:r>
        <w:rPr>
          <w:sz w:val="24"/>
        </w:rPr>
        <w:t>Marketing and schedule coordination of excess electric power if SP generates more than it consumes.</w:t>
      </w:r>
    </w:p>
    <w:p>
      <w:pPr>
        <w:pStyle w:val="Normal"/>
        <w:numPr>
          <w:ilvl w:val="0"/>
          <w:numId w:val="4"/>
        </w:numPr>
        <w:rPr>
          <w:sz w:val="24"/>
        </w:rPr>
      </w:pPr>
      <w:r>
        <w:rPr>
          <w:sz w:val="24"/>
        </w:rPr>
        <w:t>Financial Risk Management</w:t>
      </w:r>
    </w:p>
    <w:p>
      <w:pPr>
        <w:pStyle w:val="Normal"/>
        <w:numPr>
          <w:ilvl w:val="0"/>
          <w:numId w:val="4"/>
        </w:numPr>
        <w:rPr>
          <w:sz w:val="24"/>
        </w:rPr>
      </w:pPr>
      <w:r>
        <w:rPr>
          <w:sz w:val="24"/>
        </w:rPr>
        <w:t xml:space="preserve">Assist SP in the acquisition of interstate pipeline capacity. </w:t>
      </w:r>
    </w:p>
    <w:p>
      <w:pPr>
        <w:pStyle w:val="Normal"/>
        <w:numPr>
          <w:ilvl w:val="0"/>
          <w:numId w:val="4"/>
        </w:numPr>
        <w:rPr>
          <w:sz w:val="24"/>
        </w:rPr>
      </w:pPr>
      <w:r>
        <w:rPr>
          <w:sz w:val="24"/>
        </w:rPr>
        <w:t>Daily gas nomination and balancing service.</w:t>
      </w:r>
    </w:p>
    <w:p>
      <w:pPr>
        <w:pStyle w:val="Normal"/>
        <w:rPr>
          <w:sz w:val="24"/>
        </w:rPr>
      </w:pPr>
      <w:r>
        <w:rPr>
          <w:sz w:val="24"/>
        </w:rPr>
      </w:r>
    </w:p>
    <w:p>
      <w:pPr>
        <w:pStyle w:val="Normal"/>
        <w:rPr>
          <w:sz w:val="24"/>
        </w:rPr>
      </w:pPr>
      <w:r>
        <w:rPr>
          <w:sz w:val="24"/>
        </w:rPr>
        <w:t>Combining ENA’s commodity expertise with the services offered above would give SP a total energy optimization package that minimizes energy cost and allows SP as a generator to capitalize on market opportunities without expensive overhead and marketing expense.</w:t>
      </w:r>
    </w:p>
    <w:p>
      <w:pPr>
        <w:pStyle w:val="Normal"/>
        <w:rPr>
          <w:b/>
          <w:bCs/>
          <w:sz w:val="22"/>
          <w:u w:val="single"/>
        </w:rPr>
      </w:pPr>
      <w:r>
        <w:rPr>
          <w:b/>
          <w:bCs/>
          <w:sz w:val="22"/>
          <w:u w:val="single"/>
        </w:rPr>
      </w:r>
    </w:p>
    <w:p>
      <w:pPr>
        <w:pStyle w:val="Normal"/>
        <w:jc w:val="center"/>
        <w:rPr>
          <w:b/>
          <w:bCs/>
          <w:sz w:val="22"/>
          <w:u w:val="single"/>
        </w:rPr>
      </w:pPr>
      <w:r>
        <w:rPr>
          <w:b/>
          <w:bCs/>
          <w:sz w:val="22"/>
          <w:u w:val="single"/>
        </w:rPr>
      </w:r>
    </w:p>
    <w:p>
      <w:pPr>
        <w:pStyle w:val="Normal"/>
        <w:jc w:val="center"/>
        <w:rPr>
          <w:b/>
          <w:bCs/>
          <w:sz w:val="22"/>
          <w:u w:val="single"/>
        </w:rPr>
      </w:pPr>
      <w:r>
        <w:rPr>
          <w:b/>
          <w:bCs/>
          <w:sz w:val="22"/>
          <w:u w:val="single"/>
        </w:rPr>
      </w:r>
    </w:p>
    <w:p>
      <w:pPr>
        <w:pStyle w:val="Normal"/>
        <w:rPr>
          <w:b/>
          <w:bCs/>
          <w:sz w:val="22"/>
          <w:u w:val="single"/>
        </w:rPr>
      </w:pPr>
      <w:r>
        <w:rPr>
          <w:b/>
          <w:bCs/>
          <w:sz w:val="22"/>
          <w:u w:val="single"/>
        </w:rPr>
        <w:t>1) Firm Electric Power Supply</w:t>
      </w:r>
    </w:p>
    <w:p>
      <w:pPr>
        <w:pStyle w:val="Normal"/>
        <w:rPr>
          <w:b/>
          <w:bCs/>
          <w:sz w:val="22"/>
          <w:u w:val="single"/>
        </w:rPr>
      </w:pPr>
      <w:r>
        <w:rPr>
          <w:b/>
          <w:bCs/>
          <w:sz w:val="22"/>
          <w:u w:val="single"/>
        </w:rPr>
      </w:r>
    </w:p>
    <w:p>
      <w:pPr>
        <w:pStyle w:val="Normal"/>
        <w:rPr/>
      </w:pPr>
      <w:r>
        <w:rPr>
          <w:sz w:val="22"/>
        </w:rPr>
        <w:t xml:space="preserve">ENA can provide SP firm electric power once regulations in Oregon permit.  </w:t>
      </w:r>
      <w:r>
        <w:rPr>
          <w:sz w:val="24"/>
        </w:rPr>
        <w:t xml:space="preserve">This section of the proposal outlines the general terms and conditions under which Enron would enter into an energy sales agreement for firm energy with SP Newsprint.  </w:t>
      </w:r>
    </w:p>
    <w:p>
      <w:pPr>
        <w:pStyle w:val="Normal"/>
        <w:rPr>
          <w:b/>
          <w:bCs/>
          <w:sz w:val="24"/>
          <w:u w:val="single"/>
        </w:rPr>
      </w:pPr>
      <w:r>
        <w:rPr>
          <w:b/>
          <w:bCs/>
          <w:sz w:val="24"/>
          <w:u w:val="single"/>
        </w:rPr>
      </w:r>
    </w:p>
    <w:p>
      <w:pPr>
        <w:pStyle w:val="Normal"/>
        <w:ind w:hanging="2880" w:start="2880" w:end="0"/>
        <w:rPr/>
      </w:pPr>
      <w:r>
        <w:rPr>
          <w:bCs/>
          <w:sz w:val="24"/>
        </w:rPr>
        <w:t>Parties:</w:t>
        <w:tab/>
      </w:r>
      <w:r>
        <w:rPr>
          <w:sz w:val="24"/>
        </w:rPr>
        <w:t>Buyer</w:t>
      </w:r>
      <w:r>
        <w:rPr>
          <w:b/>
          <w:sz w:val="24"/>
        </w:rPr>
        <w:t>:</w:t>
      </w:r>
      <w:r>
        <w:rPr>
          <w:sz w:val="24"/>
        </w:rPr>
        <w:tab/>
        <w:tab/>
        <w:t>SP</w:t>
      </w:r>
    </w:p>
    <w:p>
      <w:pPr>
        <w:pStyle w:val="Normal"/>
        <w:ind w:firstLine="720" w:start="2160" w:end="0"/>
        <w:rPr/>
      </w:pPr>
      <w:r>
        <w:rPr>
          <w:sz w:val="24"/>
        </w:rPr>
        <w:t>Seller:</w:t>
      </w:r>
      <w:r>
        <w:rPr>
          <w:b/>
          <w:sz w:val="24"/>
        </w:rPr>
        <w:tab/>
      </w:r>
      <w:r>
        <w:rPr>
          <w:sz w:val="24"/>
        </w:rPr>
        <w:tab/>
        <w:t>ENA</w:t>
      </w:r>
    </w:p>
    <w:p>
      <w:pPr>
        <w:pStyle w:val="Normal"/>
        <w:ind w:hanging="2880" w:start="2880" w:end="0"/>
        <w:jc w:val="both"/>
        <w:rPr>
          <w:sz w:val="24"/>
        </w:rPr>
      </w:pPr>
      <w:r>
        <w:rPr>
          <w:sz w:val="24"/>
        </w:rPr>
      </w:r>
    </w:p>
    <w:p>
      <w:pPr>
        <w:pStyle w:val="Normal"/>
        <w:ind w:hanging="2880" w:start="2880" w:end="0"/>
        <w:jc w:val="both"/>
        <w:rPr>
          <w:sz w:val="24"/>
        </w:rPr>
      </w:pPr>
      <w:r>
        <w:rPr>
          <w:sz w:val="24"/>
        </w:rPr>
        <w:t>Contract Quantity:</w:t>
        <w:tab/>
        <w:t>80MW flat</w:t>
      </w:r>
    </w:p>
    <w:p>
      <w:pPr>
        <w:pStyle w:val="Normal"/>
        <w:ind w:hanging="2880" w:start="2880" w:end="0"/>
        <w:jc w:val="both"/>
        <w:rPr>
          <w:sz w:val="24"/>
        </w:rPr>
      </w:pPr>
      <w:r>
        <w:rPr>
          <w:sz w:val="24"/>
        </w:rPr>
      </w:r>
    </w:p>
    <w:p>
      <w:pPr>
        <w:pStyle w:val="Normal"/>
        <w:ind w:hanging="2880" w:start="2880" w:end="0"/>
        <w:jc w:val="both"/>
        <w:rPr>
          <w:sz w:val="24"/>
        </w:rPr>
      </w:pPr>
      <w:r>
        <w:rPr>
          <w:sz w:val="24"/>
        </w:rPr>
        <w:t>Price:</w:t>
      </w:r>
    </w:p>
    <w:p>
      <w:pPr>
        <w:pStyle w:val="Normal"/>
        <w:ind w:hanging="2880" w:start="2880" w:end="0"/>
        <w:jc w:val="both"/>
        <w:rPr>
          <w:sz w:val="24"/>
        </w:rPr>
      </w:pPr>
      <w:r>
        <w:rPr>
          <w:sz w:val="24"/>
        </w:rPr>
      </w:r>
    </w:p>
    <w:tbl>
      <w:tblPr>
        <w:tblW w:w="8721" w:type="dxa"/>
        <w:jc w:val="start"/>
        <w:tblInd w:w="-97" w:type="dxa"/>
        <w:tblLayout w:type="fixed"/>
        <w:tblCellMar>
          <w:top w:w="0" w:type="dxa"/>
          <w:start w:w="0" w:type="dxa"/>
          <w:bottom w:w="0" w:type="dxa"/>
          <w:end w:w="0" w:type="dxa"/>
        </w:tblCellMar>
      </w:tblPr>
      <w:tblGrid>
        <w:gridCol w:w="2413"/>
        <w:gridCol w:w="1726"/>
        <w:gridCol w:w="1678"/>
        <w:gridCol w:w="2904"/>
      </w:tblGrid>
      <w:tr>
        <w:trPr/>
        <w:tc>
          <w:tcPr>
            <w:tcW w:w="2413" w:type="dxa"/>
            <w:tcBorders>
              <w:top w:val="single" w:sz="6" w:space="0" w:color="000000"/>
              <w:start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cs="Arial" w:ascii="Arial" w:hAnsi="Arial"/>
                <w:color w:val="000000"/>
              </w:rPr>
              <w:t>Term</w:t>
            </w:r>
          </w:p>
        </w:tc>
        <w:tc>
          <w:tcPr>
            <w:tcW w:w="1726" w:type="dxa"/>
            <w:tcBorders>
              <w:top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Dates</w:t>
            </w:r>
          </w:p>
        </w:tc>
        <w:tc>
          <w:tcPr>
            <w:tcW w:w="4582" w:type="dxa"/>
            <w:gridSpan w:val="2"/>
            <w:tcBorders>
              <w:top w:val="single" w:sz="6" w:space="0" w:color="000000"/>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Fixed</w:t>
            </w:r>
          </w:p>
        </w:tc>
      </w:tr>
      <w:tr>
        <w:trPr/>
        <w:tc>
          <w:tcPr>
            <w:tcW w:w="2413" w:type="dxa"/>
            <w:tcBorders>
              <w:start w:val="single" w:sz="6" w:space="0" w:color="000000"/>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w:cs="Arial" w:ascii="Arial" w:hAnsi="Arial"/>
                <w:color w:val="000000"/>
              </w:rPr>
              <w:t xml:space="preserve"> </w:t>
            </w:r>
          </w:p>
        </w:tc>
        <w:tc>
          <w:tcPr>
            <w:tcW w:w="1726"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w:cs="Arial" w:ascii="Arial" w:hAnsi="Arial"/>
                <w:color w:val="000000"/>
              </w:rPr>
              <w:t xml:space="preserve"> </w:t>
            </w:r>
          </w:p>
        </w:tc>
        <w:tc>
          <w:tcPr>
            <w:tcW w:w="1678"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Volume(MW)</w:t>
            </w:r>
          </w:p>
        </w:tc>
        <w:tc>
          <w:tcPr>
            <w:tcW w:w="2904"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$/MWh</w:t>
            </w:r>
          </w:p>
        </w:tc>
      </w:tr>
      <w:tr>
        <w:trPr/>
        <w:tc>
          <w:tcPr>
            <w:tcW w:w="2413" w:type="dxa"/>
            <w:tcBorders>
              <w:start w:val="single" w:sz="6" w:space="0" w:color="000000"/>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9 month</w:t>
            </w:r>
          </w:p>
        </w:tc>
        <w:tc>
          <w:tcPr>
            <w:tcW w:w="1726"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3/1/02-12/31/02</w:t>
            </w:r>
          </w:p>
        </w:tc>
        <w:tc>
          <w:tcPr>
            <w:tcW w:w="1678"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80 Flat</w:t>
            </w:r>
          </w:p>
        </w:tc>
        <w:tc>
          <w:tcPr>
            <w:tcW w:w="2904" w:type="dxa"/>
            <w:tcBorders>
              <w:bottom w:val="single" w:sz="6" w:space="0" w:color="000000"/>
              <w:end w:val="single" w:sz="6" w:space="0" w:color="000000"/>
            </w:tcBorders>
          </w:tcPr>
          <w:p>
            <w:pPr>
              <w:pStyle w:val="Normal"/>
              <w:autoSpaceDE w:val="false"/>
              <w:snapToGrid w:val="false"/>
              <w:rPr>
                <w:rFonts w:ascii="Arial Unicode MS" w:hAnsi="Arial Unicode MS" w:eastAsia="Arial Unicode MS" w:cs="Arial Unicode MS"/>
                <w:color w:val="000000"/>
              </w:rPr>
            </w:pPr>
            <w:r>
              <w:rPr>
                <w:rFonts w:eastAsia="Arial Unicode MS" w:cs="Arial Unicode MS" w:ascii="Arial Unicode MS" w:hAnsi="Arial Unicode MS"/>
                <w:color w:val="000000"/>
              </w:rPr>
            </w:r>
          </w:p>
        </w:tc>
      </w:tr>
      <w:tr>
        <w:trPr/>
        <w:tc>
          <w:tcPr>
            <w:tcW w:w="2413" w:type="dxa"/>
            <w:tcBorders>
              <w:start w:val="single" w:sz="6" w:space="0" w:color="000000"/>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1 year</w:t>
            </w:r>
          </w:p>
        </w:tc>
        <w:tc>
          <w:tcPr>
            <w:tcW w:w="1726"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3/1/02-2/28/03</w:t>
            </w:r>
          </w:p>
        </w:tc>
        <w:tc>
          <w:tcPr>
            <w:tcW w:w="1678"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80 Flat</w:t>
            </w:r>
          </w:p>
        </w:tc>
        <w:tc>
          <w:tcPr>
            <w:tcW w:w="2904" w:type="dxa"/>
            <w:tcBorders>
              <w:bottom w:val="single" w:sz="6" w:space="0" w:color="000000"/>
              <w:end w:val="single" w:sz="6" w:space="0" w:color="000000"/>
            </w:tcBorders>
          </w:tcPr>
          <w:p>
            <w:pPr>
              <w:pStyle w:val="Normal"/>
              <w:autoSpaceDE w:val="false"/>
              <w:snapToGrid w:val="false"/>
              <w:rPr>
                <w:rFonts w:ascii="Arial Unicode MS" w:hAnsi="Arial Unicode MS" w:eastAsia="Arial Unicode MS" w:cs="Arial Unicode MS"/>
                <w:color w:val="000000"/>
              </w:rPr>
            </w:pPr>
            <w:r>
              <w:rPr>
                <w:rFonts w:eastAsia="Arial Unicode MS" w:cs="Arial Unicode MS" w:ascii="Arial Unicode MS" w:hAnsi="Arial Unicode MS"/>
                <w:color w:val="000000"/>
              </w:rPr>
            </w:r>
          </w:p>
        </w:tc>
      </w:tr>
      <w:tr>
        <w:trPr/>
        <w:tc>
          <w:tcPr>
            <w:tcW w:w="2413" w:type="dxa"/>
            <w:tcBorders>
              <w:start w:val="single" w:sz="6" w:space="0" w:color="000000"/>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3 year</w:t>
            </w:r>
          </w:p>
        </w:tc>
        <w:tc>
          <w:tcPr>
            <w:tcW w:w="1726"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3/1/02-2/28/05</w:t>
            </w:r>
          </w:p>
        </w:tc>
        <w:tc>
          <w:tcPr>
            <w:tcW w:w="1678"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80 Flat</w:t>
            </w:r>
          </w:p>
        </w:tc>
        <w:tc>
          <w:tcPr>
            <w:tcW w:w="2904" w:type="dxa"/>
            <w:tcBorders>
              <w:bottom w:val="single" w:sz="6" w:space="0" w:color="000000"/>
              <w:end w:val="single" w:sz="6" w:space="0" w:color="000000"/>
            </w:tcBorders>
          </w:tcPr>
          <w:p>
            <w:pPr>
              <w:pStyle w:val="Normal"/>
              <w:autoSpaceDE w:val="false"/>
              <w:snapToGrid w:val="false"/>
              <w:rPr>
                <w:rFonts w:ascii="Arial Unicode MS" w:hAnsi="Arial Unicode MS" w:eastAsia="Arial Unicode MS" w:cs="Arial Unicode MS"/>
                <w:color w:val="000000"/>
              </w:rPr>
            </w:pPr>
            <w:r>
              <w:rPr>
                <w:rFonts w:eastAsia="Arial Unicode MS" w:cs="Arial Unicode MS" w:ascii="Arial Unicode MS" w:hAnsi="Arial Unicode MS"/>
                <w:color w:val="000000"/>
              </w:rPr>
            </w:r>
          </w:p>
        </w:tc>
      </w:tr>
      <w:tr>
        <w:trPr/>
        <w:tc>
          <w:tcPr>
            <w:tcW w:w="2413" w:type="dxa"/>
            <w:tcBorders>
              <w:start w:val="single" w:sz="6" w:space="0" w:color="000000"/>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5 year</w:t>
            </w:r>
          </w:p>
        </w:tc>
        <w:tc>
          <w:tcPr>
            <w:tcW w:w="1726"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3/1/02-2/28/07</w:t>
            </w:r>
          </w:p>
        </w:tc>
        <w:tc>
          <w:tcPr>
            <w:tcW w:w="1678" w:type="dxa"/>
            <w:tcBorders>
              <w:bottom w:val="single" w:sz="6" w:space="0" w:color="000000"/>
              <w:end w:val="single" w:sz="6" w:space="0" w:color="000000"/>
            </w:tcBorders>
          </w:tcPr>
          <w:p>
            <w:pPr>
              <w:pStyle w:val="Normal"/>
              <w:autoSpaceDE w:val="false"/>
              <w:rPr>
                <w:rFonts w:ascii="Arial Unicode MS" w:hAnsi="Arial Unicode MS" w:eastAsia="Arial Unicode MS" w:cs="Arial Unicode MS"/>
                <w:color w:val="000000"/>
              </w:rPr>
            </w:pPr>
            <w:r>
              <w:rPr>
                <w:rFonts w:eastAsia="Arial Unicode MS" w:cs="Arial" w:ascii="Arial" w:hAnsi="Arial"/>
                <w:color w:val="000000"/>
              </w:rPr>
              <w:t>80 Flat</w:t>
            </w:r>
          </w:p>
        </w:tc>
        <w:tc>
          <w:tcPr>
            <w:tcW w:w="2904" w:type="dxa"/>
            <w:tcBorders>
              <w:bottom w:val="single" w:sz="6" w:space="0" w:color="000000"/>
              <w:end w:val="single" w:sz="6" w:space="0" w:color="000000"/>
            </w:tcBorders>
          </w:tcPr>
          <w:p>
            <w:pPr>
              <w:pStyle w:val="Normal"/>
              <w:autoSpaceDE w:val="false"/>
              <w:snapToGrid w:val="false"/>
              <w:rPr>
                <w:rFonts w:ascii="Arial Unicode MS" w:hAnsi="Arial Unicode MS" w:eastAsia="Arial Unicode MS" w:cs="Arial Unicode MS"/>
                <w:color w:val="000000"/>
              </w:rPr>
            </w:pPr>
            <w:r>
              <w:rPr>
                <w:rFonts w:eastAsia="Arial Unicode MS" w:cs="Arial Unicode MS" w:ascii="Arial Unicode MS" w:hAnsi="Arial Unicode MS"/>
                <w:color w:val="000000"/>
              </w:rPr>
            </w:r>
          </w:p>
        </w:tc>
      </w:tr>
    </w:tbl>
    <w:p>
      <w:pPr>
        <w:pStyle w:val="Normal"/>
        <w:ind w:hanging="2880" w:start="2880" w:end="0"/>
        <w:jc w:val="both"/>
        <w:rPr>
          <w:sz w:val="24"/>
        </w:rPr>
      </w:pPr>
      <w:r>
        <w:rPr>
          <w:sz w:val="24"/>
        </w:rPr>
      </w:r>
    </w:p>
    <w:p>
      <w:pPr>
        <w:pStyle w:val="Normal"/>
        <w:ind w:hanging="2880" w:start="2880" w:end="0"/>
        <w:jc w:val="both"/>
        <w:rPr>
          <w:sz w:val="24"/>
        </w:rPr>
      </w:pPr>
      <w:r>
        <w:rPr>
          <w:sz w:val="24"/>
        </w:rPr>
      </w:r>
    </w:p>
    <w:p>
      <w:pPr>
        <w:pStyle w:val="Normal"/>
        <w:ind w:hanging="2880" w:start="2880" w:end="0"/>
        <w:jc w:val="both"/>
        <w:rPr>
          <w:sz w:val="24"/>
        </w:rPr>
      </w:pPr>
      <w:r>
        <w:rPr>
          <w:sz w:val="24"/>
        </w:rPr>
      </w:r>
    </w:p>
    <w:p>
      <w:pPr>
        <w:pStyle w:val="Normal"/>
        <w:ind w:hanging="2880" w:start="2880" w:end="0"/>
        <w:jc w:val="both"/>
        <w:rPr>
          <w:sz w:val="24"/>
        </w:rPr>
      </w:pPr>
      <w:r>
        <w:rPr>
          <w:sz w:val="24"/>
        </w:rPr>
      </w:r>
    </w:p>
    <w:p>
      <w:pPr>
        <w:pStyle w:val="Normal"/>
        <w:ind w:hanging="2880" w:start="2880" w:end="0"/>
        <w:jc w:val="both"/>
        <w:rPr>
          <w:sz w:val="24"/>
        </w:rPr>
      </w:pPr>
      <w:r>
        <w:rPr>
          <w:sz w:val="24"/>
        </w:rPr>
      </w:r>
    </w:p>
    <w:p>
      <w:pPr>
        <w:pStyle w:val="Normal"/>
        <w:ind w:hanging="2880" w:start="2880" w:end="0"/>
        <w:jc w:val="both"/>
        <w:rPr>
          <w:sz w:val="24"/>
        </w:rPr>
      </w:pPr>
      <w:r>
        <w:rPr>
          <w:sz w:val="24"/>
        </w:rPr>
        <w:t>Load Factor:</w:t>
        <w:tab/>
        <w:t>All volumes will be delivered at 100 % Load Factor.</w:t>
      </w:r>
    </w:p>
    <w:p>
      <w:pPr>
        <w:pStyle w:val="Normal"/>
        <w:ind w:hanging="2880" w:start="2880" w:end="0"/>
        <w:jc w:val="both"/>
        <w:rPr>
          <w:sz w:val="24"/>
        </w:rPr>
      </w:pPr>
      <w:r>
        <w:rPr>
          <w:sz w:val="24"/>
        </w:rPr>
      </w:r>
    </w:p>
    <w:p>
      <w:pPr>
        <w:pStyle w:val="Normal"/>
        <w:ind w:hanging="2880" w:start="2880" w:end="0"/>
        <w:jc w:val="both"/>
        <w:rPr>
          <w:sz w:val="24"/>
        </w:rPr>
      </w:pPr>
      <w:r>
        <w:rPr>
          <w:sz w:val="24"/>
        </w:rPr>
        <w:t>Term:</w:t>
        <w:tab/>
        <w:t xml:space="preserve">March 2002 through October 2003.  This term can vary according to SP’s requested product structure.   </w:t>
      </w:r>
    </w:p>
    <w:p>
      <w:pPr>
        <w:pStyle w:val="Normal"/>
        <w:ind w:end="360"/>
        <w:jc w:val="both"/>
        <w:rPr>
          <w:sz w:val="24"/>
        </w:rPr>
      </w:pPr>
      <w:r>
        <w:rPr>
          <w:sz w:val="24"/>
        </w:rPr>
      </w:r>
    </w:p>
    <w:p>
      <w:pPr>
        <w:pStyle w:val="BlockText"/>
        <w:ind w:hanging="2880" w:start="2880" w:end="360"/>
        <w:rPr/>
      </w:pPr>
      <w:r>
        <w:rPr/>
        <w:t>Transmission:</w:t>
        <w:tab/>
        <w:t>EPMI will be responsible for all transmission-related services up to the designated Point of Delivery.  SP Newsprint would be responsible for all transmission-related services from and beyond the designated Point of Delivery.</w:t>
      </w:r>
    </w:p>
    <w:p>
      <w:pPr>
        <w:pStyle w:val="BlockText"/>
        <w:ind w:hanging="2880" w:start="2880" w:end="360"/>
        <w:rPr/>
      </w:pPr>
      <w:r>
        <w:rPr/>
      </w:r>
    </w:p>
    <w:p>
      <w:pPr>
        <w:pStyle w:val="Normal"/>
        <w:ind w:hanging="2880" w:start="2880" w:end="0"/>
        <w:jc w:val="both"/>
        <w:rPr>
          <w:sz w:val="24"/>
        </w:rPr>
      </w:pPr>
      <w:r>
        <w:rPr>
          <w:sz w:val="24"/>
        </w:rPr>
      </w:r>
    </w:p>
    <w:p>
      <w:pPr>
        <w:pStyle w:val="Normal"/>
        <w:ind w:hanging="2880" w:start="2880" w:end="0"/>
        <w:jc w:val="both"/>
        <w:rPr>
          <w:sz w:val="24"/>
        </w:rPr>
      </w:pPr>
      <w:r>
        <w:rPr>
          <w:sz w:val="24"/>
        </w:rPr>
        <w:t>Delivery Point:</w:t>
        <w:tab/>
        <w:t xml:space="preserve">To any non-congested point of inter-connect to the PGE system border. </w:t>
      </w:r>
    </w:p>
    <w:p>
      <w:pPr>
        <w:pStyle w:val="Normal"/>
        <w:ind w:hanging="2880" w:start="2880" w:end="0"/>
        <w:jc w:val="both"/>
        <w:rPr>
          <w:sz w:val="24"/>
        </w:rPr>
      </w:pPr>
      <w:r>
        <w:rPr>
          <w:sz w:val="24"/>
        </w:rPr>
      </w:r>
    </w:p>
    <w:p>
      <w:pPr>
        <w:pStyle w:val="Normal"/>
        <w:ind w:hanging="2880" w:start="2880" w:end="0"/>
        <w:jc w:val="both"/>
        <w:rPr>
          <w:sz w:val="24"/>
        </w:rPr>
      </w:pPr>
      <w:r>
        <w:rPr>
          <w:sz w:val="24"/>
        </w:rPr>
      </w:r>
    </w:p>
    <w:p>
      <w:pPr>
        <w:pStyle w:val="Normal"/>
        <w:ind w:hanging="2880" w:start="2880" w:end="0"/>
        <w:jc w:val="both"/>
        <w:rPr>
          <w:sz w:val="24"/>
        </w:rPr>
      </w:pPr>
      <w:r>
        <w:rPr>
          <w:sz w:val="24"/>
        </w:rPr>
        <w:t>Scheduling:</w:t>
        <w:tab/>
        <w:t>Enron and SP Newsprint agree on scheduling provisions consistent with the Western System Coordinating Council (“WSCC”) industry standards.</w:t>
      </w:r>
    </w:p>
    <w:p>
      <w:pPr>
        <w:pStyle w:val="Normal"/>
        <w:ind w:hanging="2880" w:start="2880" w:end="0"/>
        <w:jc w:val="both"/>
        <w:rPr>
          <w:sz w:val="24"/>
        </w:rPr>
      </w:pPr>
      <w:r>
        <w:rPr>
          <w:sz w:val="24"/>
        </w:rPr>
      </w:r>
    </w:p>
    <w:p>
      <w:pPr>
        <w:pStyle w:val="BodyTextIndent"/>
        <w:ind w:hanging="2880" w:start="2880" w:end="0"/>
        <w:jc w:val="both"/>
        <w:rPr>
          <w:sz w:val="24"/>
        </w:rPr>
      </w:pPr>
      <w:r>
        <w:rPr>
          <w:sz w:val="24"/>
        </w:rPr>
        <w:t>Losses:</w:t>
        <w:tab/>
        <w:t xml:space="preserve">EPMI will be responsible for losses up to the designated Point of Delivery, SP Newsprint would be responsible for losses from and beyond the designated Point of Delivery.  </w:t>
      </w:r>
    </w:p>
    <w:p>
      <w:pPr>
        <w:pStyle w:val="BodyTextIndent"/>
        <w:ind w:hanging="2880" w:start="2880" w:end="0"/>
        <w:jc w:val="both"/>
        <w:rPr>
          <w:sz w:val="24"/>
        </w:rPr>
      </w:pPr>
      <w:r>
        <w:rPr>
          <w:sz w:val="24"/>
        </w:rPr>
      </w:r>
    </w:p>
    <w:p>
      <w:pPr>
        <w:pStyle w:val="Normal"/>
        <w:ind w:hanging="2880" w:start="2880" w:end="0"/>
        <w:jc w:val="both"/>
        <w:rPr>
          <w:sz w:val="24"/>
        </w:rPr>
      </w:pPr>
      <w:r>
        <w:rPr>
          <w:sz w:val="24"/>
        </w:rPr>
        <w:t xml:space="preserve">Energy Imbalance: </w:t>
        <w:tab/>
        <w:t>SP Newsprint would have the sole responsibility of any financial benefits or costs associated with Energy Imbalance as described in PGE applicable tariff as passed through Enron one month in arrears.</w:t>
      </w:r>
    </w:p>
    <w:p>
      <w:pPr>
        <w:pStyle w:val="NormalIndent"/>
        <w:ind w:hanging="2880" w:start="2880" w:end="0"/>
        <w:jc w:val="both"/>
        <w:rPr>
          <w:sz w:val="24"/>
        </w:rPr>
      </w:pPr>
      <w:r>
        <w:rPr>
          <w:sz w:val="24"/>
        </w:rPr>
      </w:r>
    </w:p>
    <w:p>
      <w:pPr>
        <w:pStyle w:val="NormalIndent"/>
        <w:ind w:hanging="2880" w:start="2880" w:end="0"/>
        <w:jc w:val="both"/>
        <w:rPr/>
      </w:pPr>
      <w:r>
        <w:rPr/>
      </w:r>
    </w:p>
    <w:p>
      <w:pPr>
        <w:pStyle w:val="NormalIndent"/>
        <w:ind w:hanging="2880" w:start="2880" w:end="0"/>
        <w:jc w:val="both"/>
        <w:rPr/>
      </w:pPr>
      <w:r>
        <w:rPr/>
        <w:t xml:space="preserve">Transmission: </w:t>
        <w:tab/>
        <w:t>EPMI holds one of the largest quantities of Firm Transmission Rights (FTR) of any Power Marketer throughout the WSCC thus offering EPMI the highest possible degree of  “transmission flexibility.”</w:t>
      </w:r>
    </w:p>
    <w:p>
      <w:pPr>
        <w:pStyle w:val="NormalIndent"/>
        <w:ind w:hanging="2880" w:start="2880" w:end="0"/>
        <w:jc w:val="both"/>
        <w:rPr/>
      </w:pPr>
      <w:r>
        <w:rPr/>
      </w:r>
    </w:p>
    <w:p>
      <w:pPr>
        <w:pStyle w:val="NormalIndent"/>
        <w:ind w:hanging="2880" w:start="2880" w:end="0"/>
        <w:jc w:val="both"/>
        <w:rPr/>
      </w:pPr>
      <w:r>
        <w:rPr/>
      </w:r>
    </w:p>
    <w:p>
      <w:pPr>
        <w:pStyle w:val="Normal"/>
        <w:rPr>
          <w:b/>
          <w:bCs/>
          <w:sz w:val="24"/>
          <w:u w:val="single"/>
        </w:rPr>
      </w:pPr>
      <w:r>
        <w:rPr>
          <w:b/>
          <w:bCs/>
          <w:sz w:val="24"/>
          <w:u w:val="single"/>
        </w:rPr>
        <w:t>2) Firm Natural Gas Supply</w:t>
      </w:r>
    </w:p>
    <w:p>
      <w:pPr>
        <w:pStyle w:val="Normal"/>
        <w:rPr>
          <w:b/>
          <w:bCs/>
          <w:sz w:val="24"/>
          <w:u w:val="single"/>
        </w:rPr>
      </w:pPr>
      <w:r>
        <w:rPr>
          <w:b/>
          <w:bCs/>
          <w:sz w:val="24"/>
          <w:u w:val="single"/>
        </w:rPr>
      </w:r>
    </w:p>
    <w:p>
      <w:pPr>
        <w:pStyle w:val="Normal"/>
        <w:rPr>
          <w:sz w:val="24"/>
        </w:rPr>
      </w:pPr>
      <w:r>
        <w:rPr>
          <w:sz w:val="24"/>
        </w:rPr>
      </w:r>
    </w:p>
    <w:p>
      <w:pPr>
        <w:pStyle w:val="Normal"/>
        <w:ind w:hanging="2880" w:start="2880" w:end="0"/>
        <w:rPr/>
      </w:pPr>
      <w:r>
        <w:rPr>
          <w:bCs/>
          <w:sz w:val="24"/>
        </w:rPr>
        <w:t>Parties:</w:t>
        <w:tab/>
      </w:r>
      <w:r>
        <w:rPr>
          <w:sz w:val="24"/>
        </w:rPr>
        <w:t>Buyer</w:t>
      </w:r>
      <w:r>
        <w:rPr>
          <w:b/>
          <w:sz w:val="24"/>
        </w:rPr>
        <w:t>:</w:t>
      </w:r>
      <w:r>
        <w:rPr>
          <w:sz w:val="24"/>
        </w:rPr>
        <w:tab/>
        <w:tab/>
        <w:t>SP</w:t>
      </w:r>
    </w:p>
    <w:p>
      <w:pPr>
        <w:pStyle w:val="Normal"/>
        <w:ind w:firstLine="720" w:start="2160" w:end="0"/>
        <w:rPr/>
      </w:pPr>
      <w:r>
        <w:rPr>
          <w:sz w:val="24"/>
        </w:rPr>
        <w:t>Seller:</w:t>
      </w:r>
      <w:r>
        <w:rPr>
          <w:b/>
          <w:sz w:val="24"/>
        </w:rPr>
        <w:tab/>
      </w:r>
      <w:r>
        <w:rPr>
          <w:sz w:val="24"/>
        </w:rPr>
        <w:tab/>
        <w:t>ENA</w:t>
      </w:r>
    </w:p>
    <w:p>
      <w:pPr>
        <w:pStyle w:val="Heading1"/>
        <w:numPr>
          <w:ilvl w:val="0"/>
          <w:numId w:val="0"/>
        </w:numPr>
        <w:tabs>
          <w:tab w:val="clear" w:pos="720"/>
          <w:tab w:val="left" w:pos="1350" w:leader="none"/>
        </w:tabs>
        <w:ind w:hanging="2880" w:start="2880" w:end="0"/>
        <w:rPr/>
      </w:pPr>
      <w:r>
        <w:rPr>
          <w:rFonts w:cs="Times New Roman" w:ascii="Times New Roman" w:hAnsi="Times New Roman"/>
          <w:b w:val="false"/>
          <w:bCs/>
          <w:caps/>
          <w:sz w:val="24"/>
        </w:rPr>
        <w:t>D</w:t>
      </w:r>
      <w:r>
        <w:rPr>
          <w:rFonts w:cs="Times New Roman" w:ascii="Times New Roman" w:hAnsi="Times New Roman"/>
          <w:b w:val="false"/>
          <w:bCs/>
          <w:sz w:val="24"/>
        </w:rPr>
        <w:t>elivery point:</w:t>
        <w:tab/>
      </w:r>
      <w:r>
        <w:rPr>
          <w:rFonts w:cs="Times New Roman" w:ascii="Times New Roman" w:hAnsi="Times New Roman"/>
          <w:b w:val="false"/>
          <w:sz w:val="24"/>
        </w:rPr>
        <w:t xml:space="preserve">The delivery point of all sales to </w:t>
      </w:r>
      <w:r>
        <w:rPr>
          <w:rFonts w:cs="Times New Roman" w:ascii="Times New Roman" w:hAnsi="Times New Roman"/>
          <w:b w:val="false"/>
          <w:bCs/>
          <w:sz w:val="24"/>
        </w:rPr>
        <w:t>SP</w:t>
      </w:r>
      <w:r>
        <w:rPr>
          <w:rFonts w:cs="Times New Roman" w:ascii="Times New Roman" w:hAnsi="Times New Roman"/>
          <w:b w:val="false"/>
          <w:sz w:val="24"/>
        </w:rPr>
        <w:t xml:space="preserve"> shall be into Northwest Natural Gas Company.  (See “Transportation” below)</w:t>
      </w:r>
    </w:p>
    <w:p>
      <w:pPr>
        <w:pStyle w:val="Normal"/>
        <w:tabs>
          <w:tab w:val="clear" w:pos="720"/>
          <w:tab w:val="left" w:pos="0" w:leader="none"/>
        </w:tabs>
        <w:ind w:hanging="1080" w:start="1080" w:end="0"/>
        <w:rPr>
          <w:rFonts w:ascii="Times" w:hAnsi="Times" w:cs="Times"/>
          <w:b/>
          <w:color w:val="FF0000"/>
          <w:sz w:val="24"/>
        </w:rPr>
      </w:pPr>
      <w:r>
        <w:rPr>
          <w:rFonts w:cs="Times" w:ascii="Times" w:hAnsi="Times"/>
          <w:b/>
          <w:color w:val="FF0000"/>
          <w:sz w:val="24"/>
        </w:rPr>
      </w:r>
    </w:p>
    <w:p>
      <w:pPr>
        <w:pStyle w:val="Normal"/>
        <w:tabs>
          <w:tab w:val="clear" w:pos="720"/>
          <w:tab w:val="left" w:pos="360" w:leader="none"/>
        </w:tabs>
        <w:ind w:hanging="2880" w:start="2880" w:end="0"/>
        <w:rPr/>
      </w:pPr>
      <w:r>
        <w:rPr>
          <w:bCs/>
          <w:sz w:val="24"/>
        </w:rPr>
        <w:t>Quantity:</w:t>
      </w:r>
      <w:r>
        <w:rPr>
          <w:b/>
          <w:sz w:val="24"/>
        </w:rPr>
        <w:tab/>
      </w:r>
      <w:r>
        <w:rPr>
          <w:sz w:val="24"/>
        </w:rPr>
        <w:t xml:space="preserve">The Base Gas Quantity (“BGQ”) shall be 22,000 MMBtu/day.  </w:t>
      </w:r>
    </w:p>
    <w:p>
      <w:pPr>
        <w:pStyle w:val="Normal"/>
        <w:tabs>
          <w:tab w:val="clear" w:pos="720"/>
          <w:tab w:val="left" w:pos="360" w:leader="none"/>
        </w:tabs>
        <w:ind w:hanging="720" w:start="720" w:end="0"/>
        <w:rPr>
          <w:sz w:val="24"/>
        </w:rPr>
      </w:pPr>
      <w:r>
        <w:rPr>
          <w:sz w:val="24"/>
        </w:rPr>
      </w:r>
    </w:p>
    <w:p>
      <w:pPr>
        <w:pStyle w:val="Normal"/>
        <w:tabs>
          <w:tab w:val="clear" w:pos="720"/>
          <w:tab w:val="left" w:pos="360" w:leader="none"/>
        </w:tabs>
        <w:ind w:hanging="2880" w:start="2880" w:end="0"/>
        <w:rPr>
          <w:sz w:val="24"/>
        </w:rPr>
      </w:pPr>
      <w:r>
        <w:rPr>
          <w:sz w:val="24"/>
        </w:rPr>
        <w:t>Indicative Price:</w:t>
        <w:tab/>
        <w:t>The following price indications reflect close of business on Monday November 19, 2001.</w:t>
      </w:r>
    </w:p>
    <w:p>
      <w:pPr>
        <w:pStyle w:val="Normal"/>
        <w:tabs>
          <w:tab w:val="clear" w:pos="720"/>
          <w:tab w:val="left" w:pos="360" w:leader="none"/>
        </w:tabs>
        <w:ind w:hanging="2880" w:start="2880" w:end="0"/>
        <w:rPr>
          <w:sz w:val="24"/>
        </w:rPr>
      </w:pPr>
      <w:r>
        <w:rPr>
          <w:sz w:val="24"/>
        </w:rPr>
      </w:r>
    </w:p>
    <w:p>
      <w:pPr>
        <w:pStyle w:val="Normal"/>
        <w:tabs>
          <w:tab w:val="clear" w:pos="720"/>
          <w:tab w:val="left" w:pos="360" w:leader="none"/>
        </w:tabs>
        <w:ind w:hanging="720" w:start="720" w:end="0"/>
        <w:rPr>
          <w:sz w:val="24"/>
        </w:rPr>
      </w:pPr>
      <w:r>
        <w:rPr>
          <w:sz w:val="24"/>
        </w:rPr>
      </w:r>
    </w:p>
    <w:tbl>
      <w:tblPr>
        <w:tblW w:w="8748" w:type="dxa"/>
        <w:jc w:val="start"/>
        <w:tblInd w:w="108" w:type="dxa"/>
        <w:tblLayout w:type="fixed"/>
        <w:tblCellMar>
          <w:top w:w="0" w:type="dxa"/>
          <w:start w:w="108" w:type="dxa"/>
          <w:bottom w:w="0" w:type="dxa"/>
          <w:end w:w="108" w:type="dxa"/>
        </w:tblCellMar>
      </w:tblPr>
      <w:tblGrid>
        <w:gridCol w:w="2215"/>
        <w:gridCol w:w="1622"/>
        <w:gridCol w:w="1644"/>
        <w:gridCol w:w="1622"/>
        <w:gridCol w:w="1645"/>
      </w:tblGrid>
      <w:tr>
        <w:trPr/>
        <w:tc>
          <w:tcPr>
            <w:tcW w:w="22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sz w:val="24"/>
              </w:rPr>
            </w:pPr>
            <w:r>
              <w:rPr>
                <w:sz w:val="24"/>
              </w:rPr>
              <w:t>Term</w:t>
            </w:r>
          </w:p>
        </w:tc>
        <w:tc>
          <w:tcPr>
            <w:tcW w:w="16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sz w:val="24"/>
              </w:rPr>
            </w:pPr>
            <w:r>
              <w:rPr>
                <w:sz w:val="24"/>
              </w:rPr>
              <w:t>Fixed Sumas</w:t>
            </w:r>
          </w:p>
        </w:tc>
        <w:tc>
          <w:tcPr>
            <w:tcW w:w="16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sz w:val="24"/>
              </w:rPr>
            </w:pPr>
            <w:r>
              <w:rPr>
                <w:sz w:val="24"/>
              </w:rPr>
              <w:t>Fixed Rockies</w:t>
            </w:r>
          </w:p>
        </w:tc>
        <w:tc>
          <w:tcPr>
            <w:tcW w:w="16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sz w:val="24"/>
              </w:rPr>
            </w:pPr>
            <w:r>
              <w:rPr>
                <w:sz w:val="24"/>
              </w:rPr>
              <w:t>Sumas Index</w:t>
            </w:r>
          </w:p>
        </w:tc>
        <w:tc>
          <w:tcPr>
            <w:tcW w:w="16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rPr>
                <w:sz w:val="24"/>
              </w:rPr>
            </w:pPr>
            <w:r>
              <w:rPr>
                <w:sz w:val="24"/>
              </w:rPr>
              <w:t>Rockies Index</w:t>
            </w:r>
          </w:p>
        </w:tc>
      </w:tr>
      <w:tr>
        <w:trPr/>
        <w:tc>
          <w:tcPr>
            <w:tcW w:w="22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r>
      <w:tr>
        <w:trPr/>
        <w:tc>
          <w:tcPr>
            <w:tcW w:w="22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r>
      <w:tr>
        <w:trPr/>
        <w:tc>
          <w:tcPr>
            <w:tcW w:w="22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c>
          <w:tcPr>
            <w:tcW w:w="16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60" w:leader="none"/>
              </w:tabs>
              <w:snapToGrid w:val="false"/>
              <w:rPr>
                <w:sz w:val="24"/>
              </w:rPr>
            </w:pPr>
            <w:r>
              <w:rPr>
                <w:sz w:val="24"/>
              </w:rPr>
            </w:r>
          </w:p>
        </w:tc>
      </w:tr>
    </w:tbl>
    <w:p>
      <w:pPr>
        <w:pStyle w:val="Normal"/>
        <w:tabs>
          <w:tab w:val="clear" w:pos="720"/>
          <w:tab w:val="left" w:pos="360" w:leader="none"/>
        </w:tabs>
        <w:ind w:hanging="720" w:start="720" w:end="0"/>
        <w:rPr>
          <w:sz w:val="24"/>
        </w:rPr>
      </w:pPr>
      <w:r>
        <w:rPr>
          <w:sz w:val="24"/>
        </w:rPr>
      </w:r>
    </w:p>
    <w:p>
      <w:pPr>
        <w:pStyle w:val="Normal"/>
        <w:tabs>
          <w:tab w:val="clear" w:pos="720"/>
          <w:tab w:val="left" w:pos="360" w:leader="none"/>
        </w:tabs>
        <w:ind w:hanging="720" w:start="720" w:end="0"/>
        <w:rPr>
          <w:sz w:val="24"/>
        </w:rPr>
      </w:pPr>
      <w:r>
        <w:rPr>
          <w:sz w:val="24"/>
        </w:rPr>
      </w:r>
    </w:p>
    <w:p>
      <w:pPr>
        <w:pStyle w:val="BodyText"/>
        <w:ind w:hanging="2880" w:start="2880" w:end="0"/>
        <w:rPr>
          <w:i/>
          <w:i/>
          <w:sz w:val="24"/>
        </w:rPr>
      </w:pPr>
      <w:r>
        <w:rPr>
          <w:sz w:val="24"/>
        </w:rPr>
        <w:t>Transportation:</w:t>
        <w:tab/>
        <w:t>Enron</w:t>
      </w:r>
      <w:r>
        <w:rPr>
          <w:iCs/>
          <w:sz w:val="24"/>
        </w:rPr>
        <w:t xml:space="preserve"> routinely participates in open seasons and the capacity release market on Northwest pipeline.  We have individuals on staff devoted full-time to monitoring these opportunities.  SP can avail itself of these resources as part of a term supply agreement with Enron.  We are currently evaluating several packages of firm capacity, some of which would suit SP’s needs quite well.  Our staff can also work with SP to proactively petition for open seasons and partner with them to evaluate these firm capacity opportunities.</w:t>
      </w:r>
    </w:p>
    <w:p>
      <w:pPr>
        <w:pStyle w:val="Normal"/>
        <w:rPr>
          <w:i/>
          <w:i/>
          <w:sz w:val="24"/>
        </w:rPr>
      </w:pPr>
      <w:r>
        <w:rPr>
          <w:i/>
          <w:sz w:val="24"/>
        </w:rPr>
      </w:r>
    </w:p>
    <w:p>
      <w:pPr>
        <w:pStyle w:val="Normal"/>
        <w:tabs>
          <w:tab w:val="clear" w:pos="720"/>
          <w:tab w:val="left" w:pos="360" w:leader="none"/>
        </w:tabs>
        <w:ind w:hanging="2880" w:start="2880" w:end="0"/>
        <w:rPr/>
      </w:pPr>
      <w:r>
        <w:rPr>
          <w:bCs/>
          <w:sz w:val="24"/>
        </w:rPr>
        <w:t>Other:</w:t>
        <w:tab/>
      </w:r>
      <w:r>
        <w:rPr>
          <w:sz w:val="24"/>
        </w:rPr>
        <w:t>SP shall have the right to “trigger” or “lock in” its delivered gas price if it chooses an index price option.  SP shall have the right to trigger for the term of its choice to be priced on a best-effort basis by ENA.</w:t>
      </w:r>
    </w:p>
    <w:p>
      <w:pPr>
        <w:pStyle w:val="Normal"/>
        <w:rPr>
          <w:sz w:val="24"/>
        </w:rPr>
      </w:pPr>
      <w:r>
        <w:rPr>
          <w:sz w:val="24"/>
        </w:rPr>
      </w:r>
    </w:p>
    <w:p>
      <w:pPr>
        <w:pStyle w:val="Normal"/>
        <w:rPr>
          <w:sz w:val="24"/>
        </w:rPr>
      </w:pPr>
      <w:r>
        <w:rPr>
          <w:sz w:val="24"/>
        </w:rPr>
      </w:r>
    </w:p>
    <w:p>
      <w:pPr>
        <w:pStyle w:val="Normal"/>
        <w:rPr>
          <w:b/>
          <w:bCs/>
          <w:sz w:val="24"/>
          <w:u w:val="single"/>
        </w:rPr>
      </w:pPr>
      <w:r>
        <w:rPr>
          <w:b/>
          <w:bCs/>
          <w:sz w:val="24"/>
          <w:u w:val="single"/>
        </w:rPr>
        <w:t>3) As-Needed Natural Gas Supply</w:t>
      </w:r>
    </w:p>
    <w:p>
      <w:pPr>
        <w:pStyle w:val="Normal"/>
        <w:rPr>
          <w:b/>
          <w:bCs/>
          <w:sz w:val="24"/>
          <w:u w:val="single"/>
        </w:rPr>
      </w:pPr>
      <w:r>
        <w:rPr>
          <w:b/>
          <w:bCs/>
          <w:sz w:val="24"/>
          <w:u w:val="single"/>
        </w:rPr>
      </w:r>
    </w:p>
    <w:p>
      <w:pPr>
        <w:pStyle w:val="Normal"/>
        <w:rPr/>
      </w:pPr>
      <w:r>
        <w:rPr>
          <w:bCs/>
          <w:sz w:val="24"/>
        </w:rPr>
        <w:t>Parties:</w:t>
      </w:r>
      <w:r>
        <w:rPr>
          <w:sz w:val="24"/>
        </w:rPr>
        <w:t xml:space="preserve"> </w:t>
        <w:tab/>
        <w:tab/>
        <w:tab/>
        <w:t>Buyer</w:t>
      </w:r>
      <w:r>
        <w:rPr>
          <w:b/>
          <w:sz w:val="24"/>
        </w:rPr>
        <w:t>:</w:t>
      </w:r>
      <w:r>
        <w:rPr>
          <w:sz w:val="24"/>
        </w:rPr>
        <w:tab/>
        <w:tab/>
        <w:t>SP</w:t>
      </w:r>
    </w:p>
    <w:p>
      <w:pPr>
        <w:pStyle w:val="Normal"/>
        <w:ind w:firstLine="720" w:start="2160" w:end="0"/>
        <w:rPr/>
      </w:pPr>
      <w:r>
        <w:rPr>
          <w:sz w:val="24"/>
        </w:rPr>
        <w:t>Seller:</w:t>
      </w:r>
      <w:r>
        <w:rPr>
          <w:b/>
          <w:sz w:val="24"/>
        </w:rPr>
        <w:tab/>
      </w:r>
      <w:r>
        <w:rPr>
          <w:sz w:val="24"/>
        </w:rPr>
        <w:tab/>
        <w:t>ENA</w:t>
      </w:r>
    </w:p>
    <w:p>
      <w:pPr>
        <w:pStyle w:val="Normal"/>
        <w:tabs>
          <w:tab w:val="clear" w:pos="720"/>
          <w:tab w:val="left" w:pos="360" w:leader="none"/>
        </w:tabs>
        <w:ind w:hanging="720" w:start="720" w:end="0"/>
        <w:rPr>
          <w:sz w:val="24"/>
        </w:rPr>
      </w:pPr>
      <w:r>
        <w:rPr>
          <w:sz w:val="24"/>
        </w:rPr>
      </w:r>
    </w:p>
    <w:p>
      <w:pPr>
        <w:pStyle w:val="Heading1"/>
        <w:numPr>
          <w:ilvl w:val="0"/>
          <w:numId w:val="0"/>
        </w:numPr>
        <w:tabs>
          <w:tab w:val="clear" w:pos="720"/>
          <w:tab w:val="left" w:pos="1350" w:leader="none"/>
        </w:tabs>
        <w:ind w:hanging="2880" w:start="2880" w:end="0"/>
        <w:rPr/>
      </w:pPr>
      <w:r>
        <w:rPr>
          <w:rFonts w:cs="Times New Roman" w:ascii="Times New Roman" w:hAnsi="Times New Roman"/>
          <w:b w:val="false"/>
          <w:bCs/>
          <w:caps/>
          <w:sz w:val="24"/>
        </w:rPr>
        <w:t>D</w:t>
      </w:r>
      <w:r>
        <w:rPr>
          <w:rFonts w:cs="Times New Roman" w:ascii="Times New Roman" w:hAnsi="Times New Roman"/>
          <w:b w:val="false"/>
          <w:bCs/>
          <w:sz w:val="24"/>
        </w:rPr>
        <w:t>elivery point:</w:t>
        <w:tab/>
      </w:r>
      <w:r>
        <w:rPr>
          <w:rFonts w:cs="Times New Roman" w:ascii="Times New Roman" w:hAnsi="Times New Roman"/>
          <w:b w:val="false"/>
          <w:sz w:val="24"/>
        </w:rPr>
        <w:t xml:space="preserve">The delivery point of all sales to </w:t>
      </w:r>
      <w:r>
        <w:rPr>
          <w:rFonts w:cs="Times New Roman" w:ascii="Times New Roman" w:hAnsi="Times New Roman"/>
          <w:b w:val="false"/>
          <w:bCs/>
          <w:sz w:val="24"/>
        </w:rPr>
        <w:t>SP</w:t>
      </w:r>
      <w:r>
        <w:rPr>
          <w:rFonts w:cs="Times New Roman" w:ascii="Times New Roman" w:hAnsi="Times New Roman"/>
          <w:b w:val="false"/>
          <w:sz w:val="24"/>
        </w:rPr>
        <w:t xml:space="preserve"> shall be into Northwest Natural Gas Company.  (See “Transportation” below)</w:t>
      </w:r>
    </w:p>
    <w:p>
      <w:pPr>
        <w:pStyle w:val="FootnoteText"/>
        <w:rPr>
          <w:rFonts w:ascii="Times New Roman" w:hAnsi="Times New Roman" w:cs="Times New Roman"/>
          <w:b/>
          <w:sz w:val="24"/>
        </w:rPr>
      </w:pPr>
      <w:r>
        <w:rPr>
          <w:rFonts w:cs="Times New Roman"/>
          <w:b/>
          <w:sz w:val="24"/>
        </w:rPr>
      </w:r>
    </w:p>
    <w:p>
      <w:pPr>
        <w:pStyle w:val="BodyTextIndent"/>
        <w:ind w:hanging="2880" w:start="2880" w:end="0"/>
        <w:rPr/>
      </w:pPr>
      <w:r>
        <w:rPr>
          <w:bCs/>
          <w:sz w:val="24"/>
        </w:rPr>
        <w:t xml:space="preserve">Purchase Notification: </w:t>
        <w:tab/>
      </w:r>
      <w:r>
        <w:rPr>
          <w:sz w:val="24"/>
        </w:rPr>
        <w:t>Under this Agreement, SP will sometimes purchase natural gas from ENA on a daily basis under the following terms and conditions:</w:t>
      </w:r>
    </w:p>
    <w:p>
      <w:pPr>
        <w:pStyle w:val="BodyTextIndent"/>
        <w:ind w:start="2880" w:end="0"/>
        <w:rPr>
          <w:sz w:val="24"/>
        </w:rPr>
      </w:pPr>
      <w:r>
        <w:rPr>
          <w:sz w:val="24"/>
        </w:rPr>
      </w:r>
    </w:p>
    <w:p>
      <w:pPr>
        <w:pStyle w:val="BodyTextIndent"/>
        <w:numPr>
          <w:ilvl w:val="0"/>
          <w:numId w:val="5"/>
        </w:numPr>
        <w:tabs>
          <w:tab w:val="clear" w:pos="720"/>
          <w:tab w:val="left" w:pos="3960" w:leader="none"/>
        </w:tabs>
        <w:ind w:hanging="360" w:start="3960" w:end="0"/>
        <w:rPr>
          <w:sz w:val="24"/>
        </w:rPr>
      </w:pPr>
      <w:r>
        <w:rPr>
          <w:sz w:val="24"/>
        </w:rPr>
        <w:t>Daily Purchase Notifications for Tuesday–Friday for weeks without a holiday must be made by 8:00 am Central Time the day prior to the delivery day.</w:t>
      </w:r>
    </w:p>
    <w:p>
      <w:pPr>
        <w:pStyle w:val="Normal"/>
        <w:numPr>
          <w:ilvl w:val="0"/>
          <w:numId w:val="5"/>
        </w:numPr>
        <w:tabs>
          <w:tab w:val="clear" w:pos="720"/>
          <w:tab w:val="left" w:pos="3960" w:leader="none"/>
        </w:tabs>
        <w:ind w:hanging="360" w:start="3960" w:end="0"/>
        <w:rPr>
          <w:sz w:val="24"/>
        </w:rPr>
      </w:pPr>
      <w:r>
        <w:rPr>
          <w:sz w:val="24"/>
        </w:rPr>
        <w:t>Purchase Notifications for Saturday–Monday for non-holiday weekends must be received by 8:00 am Central Time Friday morning and quantity must be the same for all three days.</w:t>
      </w:r>
    </w:p>
    <w:p>
      <w:pPr>
        <w:pStyle w:val="Normal"/>
        <w:numPr>
          <w:ilvl w:val="0"/>
          <w:numId w:val="5"/>
        </w:numPr>
        <w:tabs>
          <w:tab w:val="clear" w:pos="720"/>
          <w:tab w:val="left" w:pos="3960" w:leader="none"/>
        </w:tabs>
        <w:ind w:hanging="360" w:start="3960" w:end="0"/>
        <w:rPr>
          <w:sz w:val="24"/>
        </w:rPr>
      </w:pPr>
      <w:r>
        <w:rPr>
          <w:sz w:val="24"/>
        </w:rPr>
        <w:t>Purchase Notifications for Saturday–Tuesday for holiday weekends where the holiday falls on a Monday must be received by 8:00 am Central Time Friday and quantity must be the same for all four days.</w:t>
      </w:r>
    </w:p>
    <w:p>
      <w:pPr>
        <w:pStyle w:val="Normal"/>
        <w:numPr>
          <w:ilvl w:val="0"/>
          <w:numId w:val="5"/>
        </w:numPr>
        <w:tabs>
          <w:tab w:val="clear" w:pos="720"/>
          <w:tab w:val="left" w:pos="3960" w:leader="none"/>
        </w:tabs>
        <w:ind w:hanging="360" w:start="3960" w:end="0"/>
        <w:rPr>
          <w:sz w:val="24"/>
        </w:rPr>
      </w:pPr>
      <w:r>
        <w:rPr>
          <w:sz w:val="24"/>
        </w:rPr>
        <w:t>Purchase Notifications for the two days during the week when a business day is followed by a holiday must be received by 8:00 am Central Time on the business day prior to the holiday and quantity must be the same for both days.</w:t>
      </w:r>
    </w:p>
    <w:p>
      <w:pPr>
        <w:pStyle w:val="Normal"/>
        <w:rPr>
          <w:sz w:val="24"/>
        </w:rPr>
      </w:pPr>
      <w:r>
        <w:rPr>
          <w:sz w:val="24"/>
        </w:rPr>
      </w:r>
    </w:p>
    <w:p>
      <w:pPr>
        <w:pStyle w:val="Normal"/>
        <w:tabs>
          <w:tab w:val="clear" w:pos="720"/>
          <w:tab w:val="left" w:pos="1080" w:leader="none"/>
        </w:tabs>
        <w:ind w:hanging="3600" w:start="3600" w:end="0"/>
        <w:rPr>
          <w:rFonts w:ascii="Times" w:hAnsi="Times" w:cs="Times"/>
          <w:sz w:val="24"/>
        </w:rPr>
      </w:pPr>
      <w:r>
        <w:rPr>
          <w:rFonts w:cs="Times" w:ascii="Times" w:hAnsi="Times"/>
          <w:sz w:val="24"/>
        </w:rPr>
        <w:t xml:space="preserve">Late Notifications: </w:t>
        <w:tab/>
        <w:t>Applicable if notifications are received between 8:00am Central Time and 8:30 am Central Time.  Late notifications will be priced as discussed below under Price.</w:t>
      </w:r>
    </w:p>
    <w:p>
      <w:pPr>
        <w:pStyle w:val="Normal"/>
        <w:tabs>
          <w:tab w:val="clear" w:pos="720"/>
          <w:tab w:val="left" w:pos="1080" w:leader="none"/>
        </w:tabs>
        <w:rPr>
          <w:rFonts w:ascii="Times" w:hAnsi="Times" w:cs="Times"/>
          <w:color w:val="FF0000"/>
          <w:sz w:val="24"/>
        </w:rPr>
      </w:pPr>
      <w:r>
        <w:rPr>
          <w:rFonts w:cs="Times" w:ascii="Times" w:hAnsi="Times"/>
          <w:color w:val="FF0000"/>
          <w:sz w:val="24"/>
        </w:rPr>
      </w:r>
    </w:p>
    <w:p>
      <w:pPr>
        <w:pStyle w:val="Normal"/>
        <w:tabs>
          <w:tab w:val="clear" w:pos="720"/>
          <w:tab w:val="left" w:pos="1080" w:leader="none"/>
        </w:tabs>
        <w:ind w:hanging="2880" w:start="2880" w:end="0"/>
        <w:rPr>
          <w:rFonts w:ascii="Times" w:hAnsi="Times" w:cs="Times"/>
          <w:sz w:val="24"/>
        </w:rPr>
      </w:pPr>
      <w:r>
        <w:rPr>
          <w:rFonts w:cs="Times" w:ascii="Times" w:hAnsi="Times"/>
          <w:sz w:val="24"/>
        </w:rPr>
        <w:t xml:space="preserve">Weekend/Holiday:  </w:t>
        <w:tab/>
        <w:t xml:space="preserve">SP can reduce quantity for a single day during a non-holiday weekend, holiday weekend or mid week holiday to a quantity lower than the quantity for the other days during the same period, a charge shall be assessed as discussed below under Price.  </w:t>
      </w:r>
    </w:p>
    <w:p>
      <w:pPr>
        <w:pStyle w:val="Normal"/>
        <w:tabs>
          <w:tab w:val="clear" w:pos="720"/>
          <w:tab w:val="left" w:pos="1080" w:leader="none"/>
        </w:tabs>
        <w:ind w:start="1080" w:end="0"/>
        <w:rPr>
          <w:rFonts w:ascii="Times" w:hAnsi="Times" w:cs="Times"/>
          <w:color w:val="FF0000"/>
          <w:sz w:val="24"/>
        </w:rPr>
      </w:pPr>
      <w:r>
        <w:rPr>
          <w:rFonts w:cs="Times" w:ascii="Times" w:hAnsi="Times"/>
          <w:color w:val="FF0000"/>
          <w:sz w:val="24"/>
        </w:rPr>
      </w:r>
    </w:p>
    <w:p>
      <w:pPr>
        <w:pStyle w:val="Normal"/>
        <w:ind w:hanging="2970" w:start="2970" w:end="0"/>
        <w:rPr/>
      </w:pPr>
      <w:r>
        <w:rPr>
          <w:bCs/>
          <w:sz w:val="24"/>
        </w:rPr>
        <w:t>Quantity:</w:t>
      </w:r>
      <w:r>
        <w:rPr>
          <w:sz w:val="24"/>
        </w:rPr>
        <w:tab/>
        <w:t>The Base Gas Quantity (“BGQ”) shall be 22,000 MMBtu/day.  SP shall have the right purchase up to the BGQ each day.</w:t>
      </w:r>
    </w:p>
    <w:p>
      <w:pPr>
        <w:pStyle w:val="Normal"/>
        <w:rPr>
          <w:sz w:val="24"/>
        </w:rPr>
      </w:pPr>
      <w:r>
        <w:rPr>
          <w:sz w:val="24"/>
        </w:rPr>
      </w:r>
    </w:p>
    <w:p>
      <w:pPr>
        <w:pStyle w:val="Normal"/>
        <w:ind w:hanging="2970" w:start="2970" w:end="0"/>
        <w:rPr/>
      </w:pPr>
      <w:r>
        <w:rPr>
          <w:bCs/>
          <w:sz w:val="24"/>
        </w:rPr>
        <w:t>Price:</w:t>
      </w:r>
      <w:r>
        <w:rPr>
          <w:bCs/>
        </w:rPr>
        <w:tab/>
      </w:r>
      <w:r>
        <w:rPr>
          <w:sz w:val="24"/>
        </w:rPr>
        <w:t>SP will pay ENA both a demand charge and a commodity charge according to the following schedule:</w:t>
      </w:r>
    </w:p>
    <w:p>
      <w:pPr>
        <w:pStyle w:val="Normal"/>
        <w:rPr>
          <w:sz w:val="24"/>
        </w:rPr>
      </w:pPr>
      <w:r>
        <w:rPr>
          <w:sz w:val="24"/>
        </w:rPr>
      </w:r>
    </w:p>
    <w:p>
      <w:pPr>
        <w:pStyle w:val="Normal"/>
        <w:numPr>
          <w:ilvl w:val="0"/>
          <w:numId w:val="2"/>
        </w:numPr>
        <w:tabs>
          <w:tab w:val="clear" w:pos="720"/>
          <w:tab w:val="left" w:pos="3600" w:leader="none"/>
        </w:tabs>
        <w:ind w:hanging="360" w:start="3600" w:end="0"/>
        <w:rPr>
          <w:sz w:val="24"/>
        </w:rPr>
      </w:pPr>
      <w:r>
        <w:rPr>
          <w:sz w:val="24"/>
        </w:rPr>
        <w:t>Demand Charge - $0.10/MMBtu times the BGQ</w:t>
      </w:r>
    </w:p>
    <w:p>
      <w:pPr>
        <w:pStyle w:val="Normal"/>
        <w:ind w:start="720" w:end="0"/>
        <w:rPr>
          <w:sz w:val="24"/>
        </w:rPr>
      </w:pPr>
      <w:r>
        <w:rPr>
          <w:sz w:val="24"/>
        </w:rPr>
      </w:r>
    </w:p>
    <w:p>
      <w:pPr>
        <w:pStyle w:val="Normal"/>
        <w:numPr>
          <w:ilvl w:val="0"/>
          <w:numId w:val="2"/>
        </w:numPr>
        <w:tabs>
          <w:tab w:val="clear" w:pos="720"/>
          <w:tab w:val="left" w:pos="3600" w:leader="none"/>
        </w:tabs>
        <w:ind w:hanging="360" w:start="3600" w:end="0"/>
        <w:rPr>
          <w:sz w:val="24"/>
        </w:rPr>
      </w:pPr>
      <w:r>
        <w:rPr>
          <w:sz w:val="24"/>
        </w:rPr>
        <w:t>Commodity Charge:</w:t>
      </w:r>
    </w:p>
    <w:p>
      <w:pPr>
        <w:pStyle w:val="Normal"/>
        <w:rPr>
          <w:sz w:val="24"/>
        </w:rPr>
      </w:pPr>
      <w:r>
        <w:rPr>
          <w:sz w:val="24"/>
        </w:rPr>
      </w:r>
    </w:p>
    <w:p>
      <w:pPr>
        <w:pStyle w:val="Normal"/>
        <w:numPr>
          <w:ilvl w:val="0"/>
          <w:numId w:val="3"/>
        </w:numPr>
        <w:tabs>
          <w:tab w:val="clear" w:pos="720"/>
          <w:tab w:val="left" w:pos="3960" w:leader="none"/>
        </w:tabs>
        <w:ind w:hanging="360" w:start="3960" w:end="0"/>
        <w:rPr>
          <w:sz w:val="24"/>
        </w:rPr>
      </w:pPr>
      <w:r>
        <w:rPr>
          <w:sz w:val="24"/>
        </w:rPr>
        <w:t xml:space="preserve">Base Commodity Charge: </w:t>
      </w:r>
      <w:r>
        <w:rPr>
          <w:sz w:val="24"/>
          <w:u w:val="single"/>
        </w:rPr>
        <w:t>Gas Daily</w:t>
      </w:r>
      <w:r>
        <w:rPr>
          <w:sz w:val="24"/>
        </w:rPr>
        <w:t xml:space="preserve"> Mid-Point of the Common Range for NW Sumas deliveries for the Day of delivery plus $0.02.  </w:t>
      </w:r>
    </w:p>
    <w:p>
      <w:pPr>
        <w:pStyle w:val="Normal"/>
        <w:ind w:start="1080" w:end="0"/>
        <w:rPr>
          <w:sz w:val="24"/>
        </w:rPr>
      </w:pPr>
      <w:r>
        <w:rPr>
          <w:sz w:val="24"/>
        </w:rPr>
      </w:r>
    </w:p>
    <w:p>
      <w:pPr>
        <w:pStyle w:val="Normal"/>
        <w:numPr>
          <w:ilvl w:val="0"/>
          <w:numId w:val="3"/>
        </w:numPr>
        <w:tabs>
          <w:tab w:val="clear" w:pos="720"/>
          <w:tab w:val="left" w:pos="3960" w:leader="none"/>
        </w:tabs>
        <w:ind w:hanging="360" w:start="3960" w:end="0"/>
        <w:rPr>
          <w:rFonts w:ascii="Times" w:hAnsi="Times" w:cs="Times"/>
          <w:color w:val="FF0000"/>
          <w:sz w:val="24"/>
        </w:rPr>
      </w:pPr>
      <w:r>
        <w:rPr>
          <w:rFonts w:cs="Times" w:ascii="Times" w:hAnsi="Times"/>
          <w:sz w:val="24"/>
        </w:rPr>
        <w:t xml:space="preserve">Late Purchase Notifications Commodity Charge Option: </w:t>
      </w:r>
      <w:r>
        <w:rPr>
          <w:rFonts w:cs="Times" w:ascii="Times" w:hAnsi="Times"/>
          <w:sz w:val="24"/>
          <w:u w:val="single"/>
        </w:rPr>
        <w:t>Gas Daily</w:t>
      </w:r>
      <w:r>
        <w:rPr>
          <w:rFonts w:cs="Times" w:ascii="Times" w:hAnsi="Times"/>
          <w:sz w:val="24"/>
        </w:rPr>
        <w:t xml:space="preserve"> High End of the Absolute Range for NW Sumas deliveries for the Day of delivery.   Applicable if notifications are received between 8:00am and 8:30 am.   </w:t>
      </w:r>
    </w:p>
    <w:p>
      <w:pPr>
        <w:pStyle w:val="Normal"/>
        <w:rPr>
          <w:rFonts w:ascii="Times" w:hAnsi="Times" w:cs="Times"/>
          <w:color w:val="FF0000"/>
          <w:sz w:val="24"/>
        </w:rPr>
      </w:pPr>
      <w:r>
        <w:rPr>
          <w:rFonts w:cs="Times" w:ascii="Times" w:hAnsi="Times"/>
          <w:color w:val="FF0000"/>
          <w:sz w:val="24"/>
        </w:rPr>
      </w:r>
    </w:p>
    <w:p>
      <w:pPr>
        <w:pStyle w:val="Normal"/>
        <w:numPr>
          <w:ilvl w:val="0"/>
          <w:numId w:val="3"/>
        </w:numPr>
        <w:tabs>
          <w:tab w:val="clear" w:pos="720"/>
          <w:tab w:val="left" w:pos="3960" w:leader="none"/>
        </w:tabs>
        <w:ind w:hanging="360" w:start="3960" w:end="0"/>
        <w:rPr>
          <w:rFonts w:ascii="Times" w:hAnsi="Times" w:cs="Times"/>
          <w:color w:val="000000"/>
          <w:sz w:val="24"/>
        </w:rPr>
      </w:pPr>
      <w:r>
        <w:rPr>
          <w:rFonts w:cs="Times" w:ascii="Times" w:hAnsi="Times"/>
          <w:sz w:val="24"/>
        </w:rPr>
        <w:t xml:space="preserve">Weekend/Holiday “Put Option” Charge:  If SP chooses reduce quantity for a single day during a non-holiday weekend, holiday weekend or mid week holiday to a quantity lower than the quantity for the other days during the same period, a charge </w:t>
      </w:r>
      <w:r>
        <w:rPr>
          <w:rFonts w:cs="Times" w:ascii="Times" w:hAnsi="Times"/>
          <w:color w:val="000000"/>
          <w:sz w:val="24"/>
        </w:rPr>
        <w:t xml:space="preserve">of $.50/MMBtu shall be assessed on the difference between the original nomination and the reduced nomination for the weekend/holiday.  </w:t>
      </w:r>
    </w:p>
    <w:p>
      <w:pPr>
        <w:pStyle w:val="Normal"/>
        <w:rPr>
          <w:rFonts w:ascii="Times" w:hAnsi="Times" w:cs="Times"/>
          <w:color w:val="000000"/>
          <w:sz w:val="24"/>
        </w:rPr>
      </w:pPr>
      <w:r>
        <w:rPr>
          <w:rFonts w:cs="Times" w:ascii="Times" w:hAnsi="Times"/>
          <w:color w:val="000000"/>
          <w:sz w:val="24"/>
        </w:rPr>
      </w:r>
    </w:p>
    <w:p>
      <w:pPr>
        <w:pStyle w:val="Normal"/>
        <w:ind w:start="1080" w:end="0"/>
        <w:rPr>
          <w:rFonts w:ascii="Times" w:hAnsi="Times" w:cs="Times"/>
          <w:color w:val="000000"/>
          <w:sz w:val="24"/>
        </w:rPr>
      </w:pPr>
      <w:r>
        <w:rPr>
          <w:rFonts w:cs="Times" w:ascii="Times" w:hAnsi="Times"/>
          <w:color w:val="000000"/>
          <w:sz w:val="24"/>
        </w:rPr>
      </w:r>
    </w:p>
    <w:p>
      <w:pPr>
        <w:pStyle w:val="BodyText"/>
        <w:ind w:hanging="2880" w:start="2880" w:end="0"/>
        <w:rPr>
          <w:i/>
          <w:i/>
          <w:sz w:val="24"/>
        </w:rPr>
      </w:pPr>
      <w:r>
        <w:rPr>
          <w:sz w:val="24"/>
        </w:rPr>
        <w:t>Transportation:</w:t>
        <w:tab/>
        <w:t>Enron</w:t>
      </w:r>
      <w:r>
        <w:rPr>
          <w:iCs/>
          <w:sz w:val="24"/>
        </w:rPr>
        <w:t xml:space="preserve"> routinely participates in open seasons and the capacity release market on Northwest pipeline.  We have individuals on staff devoted full-time to monitoring these opportunities.  SP can avail itself of these resources as part of a term supply agreement with Enron.  We are currently evaluating several packages of firm capacity, some of which would suit SP’s needs quite well.  Our staff can also work with SP to proactively petition for open seasons and partner with them to evaluate these firm capacity opportunities.</w:t>
      </w:r>
    </w:p>
    <w:p>
      <w:pPr>
        <w:pStyle w:val="TOC9"/>
        <w:tabs>
          <w:tab w:val="clear" w:pos="720"/>
          <w:tab w:val="clear" w:pos="9360"/>
        </w:tabs>
        <w:rPr>
          <w:i/>
          <w:i/>
          <w:sz w:val="24"/>
        </w:rPr>
      </w:pPr>
      <w:r>
        <w:rPr>
          <w:i/>
          <w:sz w:val="24"/>
        </w:rPr>
      </w:r>
    </w:p>
    <w:p>
      <w:pPr>
        <w:pStyle w:val="BodyText"/>
        <w:ind w:start="2880" w:end="0"/>
        <w:rPr/>
      </w:pPr>
      <w:r>
        <w:rPr>
          <w:bCs/>
          <w:sz w:val="24"/>
        </w:rPr>
        <w:t>Other:</w:t>
      </w:r>
      <w:r>
        <w:rPr>
          <w:sz w:val="24"/>
        </w:rPr>
        <w:t xml:space="preserve"> </w:t>
        <w:tab/>
        <w:t>SP shall have the right to “trigger” or “lock in” its delivered gas price.  PacifiCorp shall have the right to trigger for the term of its choice to be priced on a best-effort basis by ENA.  The daily volumes of gas triggered by PacifiCorp will represent the Minimum Gas Quantity (MGQ).  PacifiCorp shall have the right to purchase any quantity between the MGQ and the BGQ.</w:t>
      </w:r>
    </w:p>
    <w:p>
      <w:pPr>
        <w:pStyle w:val="BodyText"/>
        <w:rPr>
          <w:sz w:val="24"/>
        </w:rPr>
      </w:pPr>
      <w:r>
        <w:rPr>
          <w:sz w:val="24"/>
        </w:rPr>
      </w:r>
    </w:p>
    <w:p>
      <w:pPr>
        <w:pStyle w:val="BodyText"/>
        <w:rPr>
          <w:sz w:val="24"/>
        </w:rPr>
      </w:pPr>
      <w:r>
        <w:rPr>
          <w:sz w:val="24"/>
        </w:rPr>
      </w:r>
    </w:p>
    <w:p>
      <w:pPr>
        <w:pStyle w:val="BodyText"/>
        <w:rPr>
          <w:b/>
          <w:bCs/>
          <w:sz w:val="24"/>
          <w:u w:val="single"/>
        </w:rPr>
      </w:pPr>
      <w:r>
        <w:rPr>
          <w:b/>
          <w:bCs/>
          <w:sz w:val="24"/>
          <w:u w:val="single"/>
        </w:rPr>
        <w:t>4) Energy Cost Minimization</w:t>
      </w:r>
    </w:p>
    <w:p>
      <w:pPr>
        <w:pStyle w:val="BodyText"/>
        <w:rPr>
          <w:b/>
          <w:bCs/>
          <w:sz w:val="24"/>
          <w:u w:val="single"/>
        </w:rPr>
      </w:pPr>
      <w:r>
        <w:rPr>
          <w:b/>
          <w:bCs/>
          <w:sz w:val="24"/>
          <w:u w:val="single"/>
        </w:rPr>
      </w:r>
    </w:p>
    <w:p>
      <w:pPr>
        <w:pStyle w:val="Normal"/>
        <w:tabs>
          <w:tab w:val="clear" w:pos="720"/>
          <w:tab w:val="left" w:pos="360" w:leader="none"/>
        </w:tabs>
        <w:rPr>
          <w:sz w:val="24"/>
        </w:rPr>
      </w:pPr>
      <w:r>
        <w:rPr>
          <w:sz w:val="24"/>
        </w:rPr>
        <w:t>To minimize SP’s total energy cost, ENA is proposing to supply SP with long-term natural gas, or electric power, depending on which commodity is less expensive.  Enron will delivery either natural gas or an equivalent quantity of electric power based on the heat rate of SP’s new gas fired power generation project.  In addition to supplying SP with physical gas or power at the delivery point, ENA provide assistance with monthly balancing, schedule coordination, help with OFO management, make available price risk management services, assist in the procurement of term capacity, and provide market and pricing information (including EnronOnline).</w:t>
      </w:r>
    </w:p>
    <w:p>
      <w:pPr>
        <w:pStyle w:val="BodyText"/>
        <w:rPr>
          <w:b/>
          <w:bCs/>
          <w:sz w:val="24"/>
        </w:rPr>
      </w:pPr>
      <w:r>
        <w:rPr>
          <w:b/>
          <w:bCs/>
          <w:sz w:val="24"/>
        </w:rPr>
      </w:r>
    </w:p>
    <w:p>
      <w:pPr>
        <w:pStyle w:val="BodyText"/>
        <w:rPr>
          <w:b/>
          <w:bCs/>
          <w:sz w:val="24"/>
        </w:rPr>
      </w:pPr>
      <w:r>
        <w:rPr>
          <w:b/>
          <w:bCs/>
          <w:sz w:val="24"/>
        </w:rPr>
      </w:r>
    </w:p>
    <w:p>
      <w:pPr>
        <w:pStyle w:val="BodyText"/>
        <w:rPr>
          <w:b/>
          <w:bCs/>
          <w:sz w:val="24"/>
          <w:u w:val="single"/>
        </w:rPr>
      </w:pPr>
      <w:r>
        <w:rPr>
          <w:b/>
          <w:bCs/>
          <w:sz w:val="24"/>
          <w:u w:val="single"/>
        </w:rPr>
        <w:t>5) Remarketing of Natural Gas and Power</w:t>
      </w:r>
    </w:p>
    <w:p>
      <w:pPr>
        <w:pStyle w:val="BodyText"/>
        <w:rPr>
          <w:b/>
          <w:bCs/>
          <w:sz w:val="24"/>
          <w:u w:val="single"/>
        </w:rPr>
      </w:pPr>
      <w:r>
        <w:rPr>
          <w:b/>
          <w:bCs/>
          <w:sz w:val="24"/>
          <w:u w:val="single"/>
        </w:rPr>
      </w:r>
    </w:p>
    <w:p>
      <w:pPr>
        <w:pStyle w:val="NormalIndent"/>
        <w:widowControl/>
        <w:ind w:start="0" w:end="0"/>
        <w:jc w:val="both"/>
        <w:rPr/>
      </w:pPr>
      <w:r>
        <w:rPr/>
        <w:t xml:space="preserve">For SP Newsprint’s financial benefit and ease of operation, ENA suggests SP Newsprint may wish to purchase a “flat” volume of power or gas designed to meet their operational requirements.  ENA’s market presence allows for the flexibility of being able to either purchase or re-market any needed and or surplus volumes at the most advantageous price as possible.  Transactions can be initiated on a Pre-schedule and or Real-Time basis.  All required purchases on behalf of SP Newsprint would be at prevailing market prices.  In the case of excess volumes, ENA would agree to make commercially reasonable efforts to enter the market place on behalf of SP Newsprint as need be.  For electric power the re-market price would be the weighted average of daily prices thus accounting for the price differences between On and Off Peak price discrepancies.   </w:t>
      </w:r>
    </w:p>
    <w:p>
      <w:pPr>
        <w:pStyle w:val="BodyText"/>
        <w:rPr>
          <w:b/>
          <w:bCs/>
          <w:sz w:val="24"/>
        </w:rPr>
      </w:pPr>
      <w:r>
        <w:rPr>
          <w:b/>
          <w:bCs/>
          <w:sz w:val="24"/>
        </w:rPr>
      </w:r>
    </w:p>
    <w:p>
      <w:pPr>
        <w:pStyle w:val="BodyText"/>
        <w:rPr>
          <w:b/>
          <w:bCs/>
          <w:sz w:val="24"/>
          <w:u w:val="single"/>
        </w:rPr>
      </w:pPr>
      <w:r>
        <w:rPr>
          <w:b/>
          <w:bCs/>
          <w:sz w:val="24"/>
          <w:u w:val="single"/>
        </w:rPr>
      </w:r>
    </w:p>
    <w:p>
      <w:pPr>
        <w:pStyle w:val="BodyText"/>
        <w:rPr>
          <w:b/>
          <w:bCs/>
          <w:sz w:val="24"/>
          <w:u w:val="single"/>
        </w:rPr>
      </w:pPr>
      <w:r>
        <w:rPr>
          <w:b/>
          <w:bCs/>
          <w:sz w:val="24"/>
          <w:u w:val="single"/>
        </w:rPr>
        <w:t>6) Power Marketing and Schedule Coordination</w:t>
      </w:r>
    </w:p>
    <w:p>
      <w:pPr>
        <w:pStyle w:val="BodyText"/>
        <w:rPr>
          <w:b/>
          <w:bCs/>
          <w:sz w:val="24"/>
          <w:u w:val="single"/>
        </w:rPr>
      </w:pPr>
      <w:r>
        <w:rPr>
          <w:b/>
          <w:bCs/>
          <w:sz w:val="24"/>
          <w:u w:val="single"/>
        </w:rPr>
      </w:r>
    </w:p>
    <w:p>
      <w:pPr>
        <w:pStyle w:val="Normal"/>
        <w:spacing w:lineRule="atLeast" w:line="240"/>
        <w:rPr>
          <w:color w:val="000000"/>
          <w:sz w:val="24"/>
        </w:rPr>
      </w:pPr>
      <w:r>
        <w:rPr>
          <w:color w:val="000000"/>
          <w:sz w:val="24"/>
        </w:rPr>
        <w:t>Enron’s Services Desk offers a variety of services to generators who wish to participate in the WSCC power markets, without incurring the expense of maintaining a marketing staff. These include:</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color w:val="000000"/>
          <w:sz w:val="24"/>
        </w:rPr>
        <w:t xml:space="preserve">Dedicated traders whose goal is to maximize revenue from energy sales on behalf of Services customers (generators). </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color w:val="000000"/>
          <w:sz w:val="24"/>
        </w:rPr>
        <w:t>The Services traders have access to Enron's Fundamental Analysis Group data on plant outages, transmission line outages, snow pack, weather and other market data which Enron utilizes to pursue the most attractive market opportunities.</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color w:val="000000"/>
          <w:sz w:val="24"/>
        </w:rPr>
        <w:t>Enron's Real Time group is staffed with a minimum of two traders 24/7, providing customers access to Real Time markets. In addition, Enron's Real Time scheduling and tagging programs are in place and functional. As the WSCC implements Real Time tagging, hourly tagging will be a challenge for some market participants. Enron's Real Time group is experienced at the hourly reporting requirements established by the WSCC’s transmission providers.</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color w:val="000000"/>
          <w:sz w:val="24"/>
        </w:rPr>
        <w:t>Enron has firm transmission access to a variety of markets throughout the WSCC.</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color w:val="000000"/>
          <w:sz w:val="24"/>
        </w:rPr>
        <w:t>Scheduling and settlements are coordinated through a single point of contact on the Services Desk.</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color w:val="000000"/>
          <w:sz w:val="24"/>
        </w:rPr>
        <w:t>Daily, weekly or monthly updates on estimated cash flow can be provided to the customer.</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color w:val="000000"/>
          <w:sz w:val="24"/>
        </w:rPr>
        <w:t>Services Desk can arrange Unit Contingent or Firm, Term, Daily and Real Time sales of a customer’s energy in a portfolio mix manage economic returns.</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color w:val="000000"/>
          <w:sz w:val="24"/>
        </w:rPr>
        <w:t xml:space="preserve">Establishing and maintaining transmission contracts and accounts. </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color w:val="000000"/>
          <w:sz w:val="24"/>
        </w:rPr>
        <w:t>Enron maintains purchase and sale agreements</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color w:val="000000"/>
          <w:sz w:val="24"/>
        </w:rPr>
        <w:t xml:space="preserve">Enron Services Desk receives a percentage of total revenue for services provided. This structure ensures that Enron Services desk interests are aligned with the customer’s. </w:t>
      </w:r>
    </w:p>
    <w:p>
      <w:pPr>
        <w:pStyle w:val="BodyText"/>
        <w:rPr>
          <w:b/>
          <w:bCs/>
          <w:color w:val="000000"/>
          <w:sz w:val="24"/>
          <w:u w:val="single"/>
        </w:rPr>
      </w:pPr>
      <w:r>
        <w:rPr>
          <w:b/>
          <w:bCs/>
          <w:color w:val="000000"/>
          <w:sz w:val="24"/>
          <w:u w:val="single"/>
        </w:rPr>
      </w:r>
    </w:p>
    <w:p>
      <w:pPr>
        <w:pStyle w:val="BodyText"/>
        <w:rPr>
          <w:b/>
          <w:bCs/>
          <w:sz w:val="24"/>
          <w:u w:val="single"/>
        </w:rPr>
      </w:pPr>
      <w:r>
        <w:rPr>
          <w:b/>
          <w:bCs/>
          <w:sz w:val="24"/>
          <w:u w:val="single"/>
        </w:rPr>
      </w:r>
    </w:p>
    <w:p>
      <w:pPr>
        <w:pStyle w:val="BodyText"/>
        <w:rPr>
          <w:b/>
          <w:bCs/>
          <w:sz w:val="24"/>
          <w:u w:val="single"/>
        </w:rPr>
      </w:pPr>
      <w:r>
        <w:rPr>
          <w:b/>
          <w:bCs/>
          <w:sz w:val="24"/>
          <w:u w:val="single"/>
        </w:rPr>
        <w:t>7) Financial Risk Management</w:t>
      </w:r>
    </w:p>
    <w:p>
      <w:pPr>
        <w:pStyle w:val="BodyText"/>
        <w:jc w:val="center"/>
        <w:rPr>
          <w:b/>
          <w:bCs/>
          <w:sz w:val="24"/>
          <w:u w:val="single"/>
        </w:rPr>
      </w:pPr>
      <w:r>
        <w:rPr>
          <w:b/>
          <w:bCs/>
          <w:sz w:val="24"/>
          <w:u w:val="single"/>
        </w:rPr>
      </w:r>
    </w:p>
    <w:p>
      <w:pPr>
        <w:pStyle w:val="BodyText"/>
        <w:rPr>
          <w:sz w:val="24"/>
        </w:rPr>
      </w:pPr>
      <w:r>
        <w:rPr>
          <w:sz w:val="24"/>
        </w:rPr>
        <w:t>As the largest market maker in financially settled energy transactions, ENA can arrange for virtually any type of financially settled risk management instrument that SP desires (futures, swaps, options, collars, etc).  Enron can supply these whether or not we are selected as the physical supplier of power or gas.</w:t>
      </w:r>
    </w:p>
    <w:p>
      <w:pPr>
        <w:pStyle w:val="BodyText"/>
        <w:rPr>
          <w:b/>
          <w:bCs/>
          <w:sz w:val="24"/>
          <w:u w:val="single"/>
        </w:rPr>
      </w:pPr>
      <w:r>
        <w:rPr>
          <w:b/>
          <w:bCs/>
          <w:sz w:val="24"/>
          <w:u w:val="single"/>
        </w:rPr>
      </w:r>
    </w:p>
    <w:p>
      <w:pPr>
        <w:pStyle w:val="BodyText"/>
        <w:rPr>
          <w:b/>
          <w:bCs/>
          <w:sz w:val="24"/>
          <w:u w:val="single"/>
        </w:rPr>
      </w:pPr>
      <w:r>
        <w:rPr>
          <w:b/>
          <w:bCs/>
          <w:sz w:val="24"/>
          <w:u w:val="single"/>
        </w:rPr>
      </w:r>
    </w:p>
    <w:p>
      <w:pPr>
        <w:pStyle w:val="BodyText"/>
        <w:rPr>
          <w:b/>
          <w:bCs/>
          <w:sz w:val="24"/>
          <w:u w:val="single"/>
        </w:rPr>
      </w:pPr>
      <w:r>
        <w:rPr>
          <w:b/>
          <w:bCs/>
          <w:sz w:val="24"/>
          <w:u w:val="single"/>
        </w:rPr>
        <w:t>8) Acquisition of Interstate Pipeline Capacity</w:t>
      </w:r>
    </w:p>
    <w:p>
      <w:pPr>
        <w:pStyle w:val="BodyText"/>
        <w:jc w:val="center"/>
        <w:rPr>
          <w:b/>
          <w:bCs/>
          <w:sz w:val="24"/>
          <w:u w:val="single"/>
        </w:rPr>
      </w:pPr>
      <w:r>
        <w:rPr>
          <w:b/>
          <w:bCs/>
          <w:sz w:val="24"/>
          <w:u w:val="single"/>
        </w:rPr>
      </w:r>
    </w:p>
    <w:p>
      <w:pPr>
        <w:pStyle w:val="BodyText"/>
        <w:rPr>
          <w:i/>
          <w:i/>
          <w:sz w:val="24"/>
        </w:rPr>
      </w:pPr>
      <w:r>
        <w:rPr>
          <w:sz w:val="24"/>
        </w:rPr>
        <w:t>Enron</w:t>
      </w:r>
      <w:r>
        <w:rPr>
          <w:iCs/>
          <w:sz w:val="24"/>
        </w:rPr>
        <w:t xml:space="preserve"> routinely participates in open seasons and the capacity release market on Northwest pipeline.  We have individuals on staff devoted full-time to monitoring these opportunities.  SP can avail itself of these resources as part of a term supply agreement with Enron.  We are currently evaluating several packages of firm capacity, some of which would suit SP’s needs quite well.  Our staff can also work with SP to proactively petition for open seasons and partner with them to evaluate these firm capacity opportunities.</w:t>
      </w:r>
    </w:p>
    <w:p>
      <w:pPr>
        <w:pStyle w:val="BodyText"/>
        <w:rPr>
          <w:b/>
          <w:bCs/>
          <w:i/>
          <w:i/>
          <w:sz w:val="24"/>
          <w:u w:val="single"/>
        </w:rPr>
      </w:pPr>
      <w:r>
        <w:rPr>
          <w:b/>
          <w:bCs/>
          <w:i/>
          <w:sz w:val="24"/>
          <w:u w:val="single"/>
        </w:rPr>
      </w:r>
    </w:p>
    <w:p>
      <w:pPr>
        <w:pStyle w:val="BodyText"/>
        <w:rPr>
          <w:b/>
          <w:bCs/>
          <w:sz w:val="24"/>
          <w:u w:val="single"/>
        </w:rPr>
      </w:pPr>
      <w:r>
        <w:rPr>
          <w:b/>
          <w:bCs/>
          <w:sz w:val="24"/>
          <w:u w:val="single"/>
        </w:rPr>
      </w:r>
    </w:p>
    <w:p>
      <w:pPr>
        <w:pStyle w:val="BodyText"/>
        <w:rPr>
          <w:b/>
          <w:bCs/>
          <w:sz w:val="24"/>
          <w:u w:val="single"/>
        </w:rPr>
      </w:pPr>
      <w:r>
        <w:rPr>
          <w:b/>
          <w:bCs/>
          <w:sz w:val="24"/>
          <w:u w:val="single"/>
        </w:rPr>
        <w:t>9) Gas Nomination and Balancing</w:t>
      </w:r>
    </w:p>
    <w:p>
      <w:pPr>
        <w:pStyle w:val="BodyText"/>
        <w:rPr>
          <w:b/>
          <w:bCs/>
          <w:iCs/>
          <w:sz w:val="24"/>
          <w:u w:val="single"/>
        </w:rPr>
      </w:pPr>
      <w:r>
        <w:rPr>
          <w:b/>
          <w:bCs/>
          <w:iCs/>
          <w:sz w:val="24"/>
          <w:u w:val="single"/>
        </w:rPr>
      </w:r>
    </w:p>
    <w:p>
      <w:pPr>
        <w:pStyle w:val="BodyText"/>
        <w:rPr>
          <w:bCs/>
          <w:iCs/>
          <w:sz w:val="24"/>
        </w:rPr>
      </w:pPr>
      <w:r>
        <w:rPr>
          <w:sz w:val="24"/>
        </w:rPr>
        <w:t>ENA can assist SP with its gas nominations and balancing.  The exact nature of that service would depend on the transaction structure selected (term, transport ownership, etc.).  In general, for a firm gas transaction, SP would, not later than two business days prior to transporter's nomination deadline for the first gas day of each month during a period of delivery, agree to provide to ENA facsimile notice of the quantities SP requests for each gas day of such month.  Should SP desire to change the requested quantities scheduled, SP would provide ENA facsimile notice thereof not later than one business day prior to the transporter's nomination deadline for the applicable gas day.</w:t>
      </w:r>
    </w:p>
    <w:p>
      <w:pPr>
        <w:pStyle w:val="BodyText"/>
        <w:rPr>
          <w:b/>
          <w:bCs/>
          <w:i/>
          <w:i/>
          <w:iCs/>
          <w:sz w:val="24"/>
        </w:rPr>
      </w:pPr>
      <w:r>
        <w:rPr>
          <w:b/>
          <w:bCs/>
          <w:i/>
          <w:iCs/>
          <w:sz w:val="24"/>
        </w:rPr>
      </w:r>
    </w:p>
    <w:p>
      <w:pPr>
        <w:pStyle w:val="BodyText"/>
        <w:rPr>
          <w:b/>
          <w:i/>
          <w:i/>
        </w:rPr>
      </w:pPr>
      <w:r>
        <w:rPr>
          <w:b/>
          <w:i/>
        </w:rPr>
      </w:r>
    </w:p>
    <w:p>
      <w:pPr>
        <w:pStyle w:val="BodyText"/>
        <w:rPr>
          <w:b/>
          <w:i/>
          <w:i/>
        </w:rPr>
      </w:pPr>
      <w:r>
        <w:rPr>
          <w:b/>
          <w:i/>
        </w:rPr>
        <w:t>This Response to RFP intended to facilitate the negotiation, preparation, and execution of definitive agreements. The prices set forth in this Response to RFP are subject to change until, if ever, definitive agreement(s) relating to the prospective transaction addressed herein are executed. This Response to RFP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4"/>
      <w:footerReference w:type="first" r:id="rId5"/>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Letter"/>
      <w:lvlText w:val="%1."/>
      <w:lvlJc w:val="start"/>
      <w:pPr>
        <w:tabs>
          <w:tab w:val="num" w:pos="1800"/>
        </w:tabs>
        <w:ind w:start="1800" w:hanging="360"/>
      </w:pPr>
      <w:rPr/>
    </w:lvl>
  </w:abstractNum>
  <w:abstractNum w:abstractNumId="6">
    <w:lvl w:ilvl="0">
      <w:start w:val="1200"/>
      <w:numFmt w:val="bullet"/>
      <w:lvlText w:val="-"/>
      <w:lvlJc w:val="start"/>
      <w:pPr>
        <w:tabs>
          <w:tab w:val="num" w:pos="1080"/>
        </w:tabs>
        <w:ind w:start="1080" w:hanging="360"/>
      </w:pPr>
      <w:rPr>
        <w:rFonts w:ascii="Liberation Serif" w:hAnsi="Liberation Serif" w:cs="Liberation Serif" w:hint="default"/>
      </w:rPr>
    </w:lvl>
  </w:abstractNum>
  <w:abstractNum w:abstractNumId="7">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i w:val="false"/>
      <w:color w:val="000000"/>
      <w:sz w:val="20"/>
      <w:u w:val="none"/>
    </w:rPr>
  </w:style>
  <w:style w:type="character" w:styleId="WW8Num27z0">
    <w:name w:val="WW8Num27z0"/>
    <w:qFormat/>
    <w:rPr/>
  </w:style>
  <w:style w:type="character" w:styleId="WW8Num29z0">
    <w:name w:val="WW8Num29z0"/>
    <w:qFormat/>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widowControl w:val="false"/>
      <w:ind w:hanging="0" w:start="720" w:end="0"/>
    </w:pPr>
    <w:rPr>
      <w:sz w:val="24"/>
    </w:rPr>
  </w:style>
  <w:style w:type="paragraph" w:styleId="BlockText">
    <w:name w:val="Block Text"/>
    <w:basedOn w:val="Normal"/>
    <w:qFormat/>
    <w:pPr>
      <w:ind w:hanging="2160" w:start="2160" w:end="36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2001-11-19T19:15:00Z</dcterms:created>
  <dc:creator>Jim Buerkle</dc:creator>
  <dc:description/>
  <dc:language>en-CA</dc:language>
  <cp:lastModifiedBy>dfuller</cp:lastModifiedBy>
  <cp:lastPrinted>2001-11-19T13:19:00Z</cp:lastPrinted>
  <dcterms:modified xsi:type="dcterms:W3CDTF">2001-11-19T19:15:00Z</dcterms:modified>
  <cp:revision>2</cp:revision>
  <dc:subject/>
  <dc:title>IPCo RFP Response</dc:title>
</cp:coreProperties>
</file>