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International Swaps and Derivatives Association</w:t>
      </w:r>
    </w:p>
    <w:p>
      <w:pPr>
        <w:pStyle w:val="Heading1"/>
        <w:ind w:hanging="0" w:start="0"/>
        <w:rPr/>
      </w:pPr>
      <w:r>
        <w:rPr/>
        <w:t xml:space="preserve">North American Energy and Developing Products Committee </w:t>
      </w:r>
    </w:p>
    <w:p>
      <w:pPr>
        <w:pStyle w:val="Heading1"/>
        <w:ind w:hanging="0" w:start="0"/>
        <w:rPr>
          <w:b w:val="false"/>
        </w:rPr>
      </w:pPr>
      <w:r>
        <w:rPr>
          <w:b w:val="false"/>
        </w:rPr>
      </w:r>
    </w:p>
    <w:p>
      <w:pPr>
        <w:pStyle w:val="Heading1"/>
        <w:ind w:hanging="0" w:start="0"/>
        <w:rPr/>
      </w:pPr>
      <w:r>
        <w:rPr/>
        <w:t xml:space="preserve">Video Conference Meeting </w:t>
      </w:r>
    </w:p>
    <w:p>
      <w:pPr>
        <w:pStyle w:val="Normal"/>
        <w:jc w:val="center"/>
        <w:rPr>
          <w:b/>
        </w:rPr>
      </w:pPr>
      <w:r>
        <w:rPr>
          <w:b/>
        </w:rPr>
        <w:t>Friday, November 2, 2001</w:t>
      </w:r>
    </w:p>
    <w:p>
      <w:pPr>
        <w:pStyle w:val="Normal"/>
        <w:jc w:val="center"/>
        <w:rPr>
          <w:b/>
        </w:rPr>
      </w:pPr>
      <w:r>
        <w:rPr>
          <w:b/>
        </w:rPr>
        <w:t>11:00 a.m. - 12:30 p.m. (New York)</w:t>
      </w:r>
    </w:p>
    <w:p>
      <w:pPr>
        <w:pStyle w:val="Normal"/>
        <w:jc w:val="center"/>
        <w:rPr>
          <w:b/>
        </w:rPr>
      </w:pPr>
      <w:r>
        <w:rPr>
          <w:b/>
        </w:rPr>
        <w:t>10:00 a.m. - 11:30 a.m. (Houston)</w:t>
      </w:r>
    </w:p>
    <w:p>
      <w:pPr>
        <w:pStyle w:val="Normal"/>
        <w:jc w:val="center"/>
        <w:rPr>
          <w:b/>
        </w:rPr>
      </w:pPr>
      <w:r>
        <w:rPr>
          <w:b/>
        </w:rPr>
      </w:r>
    </w:p>
    <w:p>
      <w:pPr>
        <w:pStyle w:val="Heading1"/>
        <w:ind w:hanging="0" w:start="0"/>
        <w:rPr/>
      </w:pPr>
      <w:r>
        <w:rPr/>
        <w:t>SUMMARY OF ISSUES</w:t>
      </w:r>
    </w:p>
    <w:p>
      <w:pPr>
        <w:pStyle w:val="Normal"/>
        <w:rPr/>
      </w:pPr>
      <w:r>
        <w:rPr/>
      </w:r>
    </w:p>
    <w:p>
      <w:pPr>
        <w:pStyle w:val="Normal"/>
        <w:numPr>
          <w:ilvl w:val="0"/>
          <w:numId w:val="3"/>
        </w:numPr>
        <w:rPr>
          <w:b/>
        </w:rPr>
      </w:pPr>
      <w:r>
        <w:rPr>
          <w:b/>
        </w:rPr>
        <w:t>Energy Best Practices Statement – September 11, 2001</w:t>
      </w:r>
    </w:p>
    <w:p>
      <w:pPr>
        <w:pStyle w:val="Heading6"/>
        <w:ind w:start="720" w:end="0"/>
        <w:rPr/>
      </w:pPr>
      <w:r>
        <w:rPr/>
        <w:t>(Best Practices Statement)</w:t>
      </w:r>
    </w:p>
    <w:p>
      <w:pPr>
        <w:pStyle w:val="Normal"/>
        <w:numPr>
          <w:ilvl w:val="0"/>
          <w:numId w:val="7"/>
        </w:numPr>
        <w:tabs>
          <w:tab w:val="clear" w:pos="720"/>
          <w:tab w:val="left" w:pos="1080" w:leader="none"/>
        </w:tabs>
        <w:ind w:hanging="360" w:start="1080" w:end="0"/>
        <w:rPr/>
      </w:pPr>
      <w:r>
        <w:rPr/>
        <w:t>Most members believed ISDA’s Best Practices Statement worked well.</w:t>
      </w:r>
    </w:p>
    <w:p>
      <w:pPr>
        <w:pStyle w:val="Normal"/>
        <w:numPr>
          <w:ilvl w:val="0"/>
          <w:numId w:val="8"/>
        </w:numPr>
        <w:tabs>
          <w:tab w:val="clear" w:pos="720"/>
          <w:tab w:val="left" w:pos="1080" w:leader="none"/>
        </w:tabs>
        <w:ind w:hanging="360" w:start="1080" w:end="0"/>
        <w:rPr/>
      </w:pPr>
      <w:r>
        <w:rPr/>
        <w:t>Some concern was raised about producers feeling disadvantaged.</w:t>
      </w:r>
    </w:p>
    <w:p>
      <w:pPr>
        <w:pStyle w:val="Normal"/>
        <w:numPr>
          <w:ilvl w:val="0"/>
          <w:numId w:val="7"/>
        </w:numPr>
        <w:tabs>
          <w:tab w:val="clear" w:pos="720"/>
          <w:tab w:val="left" w:pos="1080" w:leader="none"/>
        </w:tabs>
        <w:ind w:hanging="360" w:start="1080" w:end="0"/>
        <w:rPr/>
      </w:pPr>
      <w:r>
        <w:rPr/>
        <w:t>Discussion occurred about the most useful methodology in this type of situation: postponement vs. dropping days with the postponement methodology offering the advantage of still being able to trade thus the continued ability to manage a firm’s position.  Dropped days transfers/displaces volume onto other days. Postponement does not disadvantage either side of the market.</w:t>
      </w:r>
    </w:p>
    <w:p>
      <w:pPr>
        <w:pStyle w:val="Normal"/>
        <w:ind w:start="720" w:end="0"/>
        <w:rPr>
          <w:b/>
          <w:i/>
          <w:i/>
        </w:rPr>
      </w:pPr>
      <w:r>
        <w:rPr>
          <w:b/>
          <w:i/>
        </w:rPr>
        <w:t>(Protocol Process)</w:t>
      </w:r>
    </w:p>
    <w:p>
      <w:pPr>
        <w:pStyle w:val="Normal"/>
        <w:numPr>
          <w:ilvl w:val="0"/>
          <w:numId w:val="7"/>
        </w:numPr>
        <w:tabs>
          <w:tab w:val="clear" w:pos="720"/>
          <w:tab w:val="left" w:pos="1080" w:leader="none"/>
        </w:tabs>
        <w:ind w:hanging="360" w:start="1080" w:end="0"/>
        <w:rPr/>
      </w:pPr>
      <w:r>
        <w:rPr/>
        <w:t>The use of the protocol process on an ongoing basis was suggested as a potential solution to address future market disruption situations. The benefits being an easily accessible clearinghouse of information.  The downside being loss of flexibility afforded through best practices guidelines and entities not willing to sign-up to the protocol.  This suggestion would be taken under advisement by ISDA.</w:t>
      </w:r>
    </w:p>
    <w:p>
      <w:pPr>
        <w:pStyle w:val="Normal"/>
        <w:ind w:start="720" w:end="0"/>
        <w:rPr>
          <w:b/>
        </w:rPr>
      </w:pPr>
      <w:r>
        <w:rPr>
          <w:b/>
        </w:rPr>
        <w:t>(NYMEX Holiday Schedule)</w:t>
      </w:r>
    </w:p>
    <w:p>
      <w:pPr>
        <w:pStyle w:val="Normal"/>
        <w:numPr>
          <w:ilvl w:val="0"/>
          <w:numId w:val="7"/>
        </w:numPr>
        <w:tabs>
          <w:tab w:val="clear" w:pos="720"/>
          <w:tab w:val="left" w:pos="1080" w:leader="none"/>
        </w:tabs>
        <w:ind w:hanging="360" w:start="1080" w:end="0"/>
        <w:rPr/>
      </w:pPr>
      <w:r>
        <w:rPr/>
        <w:t>NYMEX’ decision to close the day after Thanksgiving after a previous announcement that the exchange would remain open was raised as a new issue for consideration in terms of how to treat the day (price source disruption, supervisory event). The Committee thought guidance in this area would be helpful.</w:t>
      </w:r>
    </w:p>
    <w:p>
      <w:pPr>
        <w:pStyle w:val="Normal"/>
        <w:numPr>
          <w:ilvl w:val="0"/>
          <w:numId w:val="7"/>
        </w:numPr>
        <w:tabs>
          <w:tab w:val="clear" w:pos="720"/>
          <w:tab w:val="left" w:pos="1080" w:leader="none"/>
        </w:tabs>
        <w:ind w:hanging="360" w:start="1080" w:end="0"/>
        <w:rPr>
          <w:b/>
        </w:rPr>
      </w:pPr>
      <w:r>
        <w:rPr/>
        <w:t>The NYMEX Christmas and New Year’s schedule was also questioned. The current schedule indicates opening on December 31 and closing on December 24.  A subsequent decision by NYMEX to close on December 31 would present a similar problem arising from the decision to close the day after Thanksgiving</w:t>
      </w:r>
      <w:r>
        <w:rPr>
          <w:b/>
        </w:rPr>
        <w:t>.</w:t>
      </w:r>
    </w:p>
    <w:p>
      <w:pPr>
        <w:pStyle w:val="Normal"/>
        <w:ind w:start="720" w:end="0"/>
        <w:rPr>
          <w:b/>
        </w:rPr>
      </w:pPr>
      <w:r>
        <w:rPr>
          <w:b/>
        </w:rPr>
      </w:r>
    </w:p>
    <w:p>
      <w:pPr>
        <w:pStyle w:val="Normal"/>
        <w:numPr>
          <w:ilvl w:val="0"/>
          <w:numId w:val="3"/>
        </w:numPr>
        <w:rPr>
          <w:b/>
        </w:rPr>
      </w:pPr>
      <w:r>
        <w:rPr>
          <w:b/>
        </w:rPr>
        <w:t>Standardized Provisions for Master Energy Contracts</w:t>
      </w:r>
    </w:p>
    <w:p>
      <w:pPr>
        <w:pStyle w:val="Normal"/>
        <w:numPr>
          <w:ilvl w:val="0"/>
          <w:numId w:val="5"/>
        </w:numPr>
        <w:tabs>
          <w:tab w:val="clear" w:pos="720"/>
          <w:tab w:val="left" w:pos="1080" w:leader="none"/>
        </w:tabs>
        <w:ind w:hanging="360" w:start="1080" w:end="0"/>
        <w:rPr>
          <w:b/>
        </w:rPr>
      </w:pPr>
      <w:r>
        <w:rPr/>
        <w:t>ISDA announced that it would be launching two working groups to address documentation issues in the area of standardizing provisions across Master Energy Contracts and in the area of evaluation for update of ISDA’s Commodity Derivatives Definitions.  Individuals interested in working on these projects were asked to contact Stacy Carey.</w:t>
      </w:r>
    </w:p>
    <w:p>
      <w:pPr>
        <w:pStyle w:val="Normal"/>
        <w:numPr>
          <w:ilvl w:val="0"/>
          <w:numId w:val="5"/>
        </w:numPr>
        <w:tabs>
          <w:tab w:val="clear" w:pos="720"/>
          <w:tab w:val="left" w:pos="1080" w:leader="none"/>
        </w:tabs>
        <w:ind w:hanging="360" w:start="1080" w:end="0"/>
        <w:rPr>
          <w:b/>
        </w:rPr>
      </w:pPr>
      <w:r>
        <w:rPr/>
        <w:t>Although the decision would be made by the working group, it was anticipated that the group would meet frequently, at least every month, with the goal of producing a product within a year.</w:t>
      </w:r>
    </w:p>
    <w:p>
      <w:pPr>
        <w:pStyle w:val="Normal"/>
        <w:numPr>
          <w:ilvl w:val="0"/>
          <w:numId w:val="5"/>
        </w:numPr>
        <w:tabs>
          <w:tab w:val="clear" w:pos="720"/>
          <w:tab w:val="left" w:pos="1080" w:leader="none"/>
        </w:tabs>
        <w:ind w:hanging="360" w:start="1080" w:end="0"/>
        <w:rPr>
          <w:b/>
        </w:rPr>
      </w:pPr>
      <w:r>
        <w:rPr/>
        <w:t xml:space="preserve">Elizabeth Sager of Enron provided the committee with a brief description of a prior project that identified provisions common to physical master energy contracts comparing them to the ISDA Master agreement.  </w:t>
      </w:r>
    </w:p>
    <w:p>
      <w:pPr>
        <w:pStyle w:val="Normal"/>
        <w:numPr>
          <w:ilvl w:val="0"/>
          <w:numId w:val="5"/>
        </w:numPr>
        <w:tabs>
          <w:tab w:val="clear" w:pos="720"/>
          <w:tab w:val="left" w:pos="1080" w:leader="none"/>
        </w:tabs>
        <w:ind w:hanging="360" w:start="1080" w:end="0"/>
        <w:rPr>
          <w:b/>
        </w:rPr>
      </w:pPr>
      <w:r>
        <w:rPr/>
        <w:t>The results of this project are outlined in the table entitled “ Standard Documentation for OTC Commodity Trading in North America”, which was circulated to the committee prior to the meeting.</w:t>
      </w:r>
    </w:p>
    <w:p>
      <w:pPr>
        <w:pStyle w:val="Normal"/>
        <w:numPr>
          <w:ilvl w:val="0"/>
          <w:numId w:val="5"/>
        </w:numPr>
        <w:tabs>
          <w:tab w:val="clear" w:pos="720"/>
          <w:tab w:val="left" w:pos="1080" w:leader="none"/>
        </w:tabs>
        <w:ind w:hanging="360" w:start="1080" w:end="0"/>
        <w:rPr>
          <w:b/>
        </w:rPr>
      </w:pPr>
      <w:r>
        <w:rPr/>
        <w:t>Suggestions to achieve the goal of standardizing these provisions included; a transaction bridge, a single agreement for all commodities trading, and a master netting agreement.</w:t>
      </w:r>
    </w:p>
    <w:p>
      <w:pPr>
        <w:pStyle w:val="Normal"/>
        <w:numPr>
          <w:ilvl w:val="0"/>
          <w:numId w:val="5"/>
        </w:numPr>
        <w:tabs>
          <w:tab w:val="clear" w:pos="720"/>
          <w:tab w:val="left" w:pos="1080" w:leader="none"/>
        </w:tabs>
        <w:ind w:hanging="360" w:start="1080" w:end="0"/>
        <w:rPr>
          <w:b/>
        </w:rPr>
      </w:pPr>
      <w:r>
        <w:rPr/>
        <w:t>The Bond Market Association Working Group that is considering a new cross-product master agreement and a cross-affiliate netting agreement was mentioned along with the fact that ISDA was going to move forward on a new master agreement.  It was suggested that ISDA work with the BMA going forward.</w:t>
      </w:r>
    </w:p>
    <w:p>
      <w:pPr>
        <w:pStyle w:val="Normal"/>
        <w:numPr>
          <w:ilvl w:val="0"/>
          <w:numId w:val="5"/>
        </w:numPr>
        <w:tabs>
          <w:tab w:val="clear" w:pos="720"/>
          <w:tab w:val="left" w:pos="1080" w:leader="none"/>
        </w:tabs>
        <w:ind w:hanging="360" w:start="1080" w:end="0"/>
        <w:rPr>
          <w:b/>
        </w:rPr>
      </w:pPr>
      <w:r>
        <w:rPr/>
        <w:t>It was also noted that European market considerations should also be considered and that it might be helpful to prioritize among product groups.</w:t>
      </w:r>
    </w:p>
    <w:p>
      <w:pPr>
        <w:pStyle w:val="Normal"/>
        <w:numPr>
          <w:ilvl w:val="0"/>
          <w:numId w:val="5"/>
        </w:numPr>
        <w:tabs>
          <w:tab w:val="clear" w:pos="720"/>
          <w:tab w:val="left" w:pos="1080" w:leader="none"/>
        </w:tabs>
        <w:ind w:hanging="360" w:start="1080" w:end="0"/>
        <w:rPr>
          <w:b/>
        </w:rPr>
      </w:pPr>
      <w:r>
        <w:rPr/>
        <w:t>Kimberly Summe then updated the committee on ISDA’s current documentation projects including the project on updating the ISDA master agreement.</w:t>
      </w:r>
    </w:p>
    <w:p>
      <w:pPr>
        <w:pStyle w:val="Normal"/>
        <w:numPr>
          <w:ilvl w:val="0"/>
          <w:numId w:val="5"/>
        </w:numPr>
        <w:tabs>
          <w:tab w:val="clear" w:pos="720"/>
          <w:tab w:val="left" w:pos="1080" w:leader="none"/>
        </w:tabs>
        <w:ind w:hanging="360" w:start="1080" w:end="0"/>
        <w:rPr>
          <w:b/>
        </w:rPr>
      </w:pPr>
      <w:r>
        <w:rPr/>
        <w:t>ISDA noted that these types of issues would be vetted in the smaller working group and that it was important that any solution would have to fit within ISDA’s documentation architecture.</w:t>
      </w:r>
    </w:p>
    <w:p>
      <w:pPr>
        <w:pStyle w:val="Normal"/>
        <w:numPr>
          <w:ilvl w:val="0"/>
          <w:numId w:val="3"/>
        </w:numPr>
        <w:rPr>
          <w:b/>
        </w:rPr>
      </w:pPr>
      <w:r>
        <w:rPr>
          <w:b/>
        </w:rPr>
        <w:t xml:space="preserve">ISDA Commodity Derivatives Definitions </w:t>
      </w:r>
    </w:p>
    <w:p>
      <w:pPr>
        <w:pStyle w:val="Normal"/>
        <w:numPr>
          <w:ilvl w:val="0"/>
          <w:numId w:val="4"/>
        </w:numPr>
        <w:tabs>
          <w:tab w:val="clear" w:pos="720"/>
          <w:tab w:val="left" w:pos="1080" w:leader="none"/>
        </w:tabs>
        <w:ind w:hanging="360" w:start="1080" w:end="0"/>
        <w:rPr>
          <w:b/>
        </w:rPr>
      </w:pPr>
      <w:r>
        <w:rPr/>
        <w:t>The Commodity Derivatives Definitions working group would be established to review and evaluate the necessity of updating ISDA’s definitions.  The establishment of the working group was not a commitment to update the definitions but rather an assessment exercise to evaluate the need for an update.</w:t>
      </w:r>
    </w:p>
    <w:p>
      <w:pPr>
        <w:pStyle w:val="Normal"/>
        <w:numPr>
          <w:ilvl w:val="0"/>
          <w:numId w:val="4"/>
        </w:numPr>
        <w:tabs>
          <w:tab w:val="clear" w:pos="720"/>
          <w:tab w:val="left" w:pos="1080" w:leader="none"/>
        </w:tabs>
        <w:ind w:hanging="360" w:start="1080" w:end="0"/>
        <w:rPr>
          <w:b/>
        </w:rPr>
      </w:pPr>
      <w:r>
        <w:rPr/>
        <w:t xml:space="preserve">ISDA suggested utilizing a similar process to that recently commenced by ISDA’s Equity Derivatives Committee where a survey was drafted and circulated among the members. </w:t>
      </w:r>
    </w:p>
    <w:p>
      <w:pPr>
        <w:pStyle w:val="Normal"/>
        <w:numPr>
          <w:ilvl w:val="0"/>
          <w:numId w:val="4"/>
        </w:numPr>
        <w:tabs>
          <w:tab w:val="clear" w:pos="720"/>
          <w:tab w:val="left" w:pos="1080" w:leader="none"/>
        </w:tabs>
        <w:ind w:hanging="360" w:start="1080" w:end="0"/>
        <w:rPr>
          <w:b/>
        </w:rPr>
      </w:pPr>
      <w:r>
        <w:rPr/>
        <w:t>ISDA also anticipated that this project would also involve members of ISDA’s European Energy and Developing Products Committee.</w:t>
      </w:r>
    </w:p>
    <w:p>
      <w:pPr>
        <w:pStyle w:val="Normal"/>
        <w:numPr>
          <w:ilvl w:val="0"/>
          <w:numId w:val="3"/>
        </w:numPr>
        <w:rPr>
          <w:b/>
        </w:rPr>
      </w:pPr>
      <w:r>
        <w:rPr>
          <w:b/>
        </w:rPr>
        <w:t>Ontario Electricity Market - Modification of the (HOEP) hourly Ontario energy price</w:t>
      </w:r>
    </w:p>
    <w:p>
      <w:pPr>
        <w:pStyle w:val="Normal"/>
        <w:numPr>
          <w:ilvl w:val="0"/>
          <w:numId w:val="6"/>
        </w:numPr>
        <w:tabs>
          <w:tab w:val="clear" w:pos="720"/>
          <w:tab w:val="left" w:pos="1080" w:leader="none"/>
        </w:tabs>
        <w:ind w:hanging="360" w:start="1080" w:end="0"/>
        <w:rPr>
          <w:b/>
        </w:rPr>
      </w:pPr>
      <w:r>
        <w:rPr/>
        <w:t>Meg Timberg of Ontario Power Generation gave the committee a brief update on modifications to the Ontario Market Rules affecting the hourly Ontario energy price (HOEP) that may impact existing swap contracts referencing the HOEP.  Committee members desiring further information in this area should contact Meg Timberg at (416) 592-6357.</w:t>
      </w:r>
    </w:p>
    <w:p>
      <w:pPr>
        <w:pStyle w:val="Normal"/>
        <w:numPr>
          <w:ilvl w:val="0"/>
          <w:numId w:val="3"/>
        </w:numPr>
        <w:rPr>
          <w:b/>
        </w:rPr>
      </w:pPr>
      <w:r>
        <w:rPr>
          <w:b/>
        </w:rPr>
        <w:t>ISDA London Energy Conference – December 4, 2001</w:t>
      </w:r>
    </w:p>
    <w:p>
      <w:pPr>
        <w:pStyle w:val="Normal"/>
        <w:numPr>
          <w:ilvl w:val="0"/>
          <w:numId w:val="9"/>
        </w:numPr>
        <w:tabs>
          <w:tab w:val="clear" w:pos="720"/>
          <w:tab w:val="left" w:pos="1080" w:leader="none"/>
        </w:tabs>
        <w:ind w:hanging="360" w:start="1080" w:end="0"/>
        <w:rPr>
          <w:b/>
        </w:rPr>
      </w:pPr>
      <w:r>
        <w:rPr/>
        <w:t>A brief mention of ISDA’s upcoming Energy Conference was mentioned</w:t>
      </w:r>
      <w:r>
        <w:rPr>
          <w:b/>
        </w:rPr>
        <w:t xml:space="preserve">. </w:t>
      </w:r>
      <w:r>
        <w:rPr/>
        <w:t xml:space="preserve"> The agenda is available on ISDA’s web site: </w:t>
      </w:r>
      <w:hyperlink r:id="rId2">
        <w:r>
          <w:rPr>
            <w:rStyle w:val="Hyperlink"/>
          </w:rPr>
          <w:t>www.isda.org</w:t>
        </w:r>
      </w:hyperlink>
      <w:r>
        <w:rPr/>
        <w:t>.  Requests were made for potential ISDA-member speakers for the e-commerce panel that will focus on future challenges, the impact of e-trading on standardized documentation, and characteristics that make a successful platform.  Suggestions should be made to Stacy Carey.</w:t>
      </w:r>
    </w:p>
    <w:p>
      <w:pPr>
        <w:pStyle w:val="Normal"/>
        <w:numPr>
          <w:ilvl w:val="0"/>
          <w:numId w:val="3"/>
        </w:numPr>
        <w:rPr>
          <w:b/>
        </w:rPr>
      </w:pPr>
      <w:r>
        <w:rPr>
          <w:b/>
        </w:rPr>
        <w:t>Other Issues/Open Discussion</w:t>
      </w:r>
    </w:p>
    <w:p>
      <w:pPr>
        <w:pStyle w:val="Normal"/>
        <w:numPr>
          <w:ilvl w:val="0"/>
          <w:numId w:val="2"/>
        </w:numPr>
        <w:tabs>
          <w:tab w:val="clear" w:pos="720"/>
          <w:tab w:val="left" w:pos="1080" w:leader="none"/>
        </w:tabs>
        <w:ind w:hanging="360" w:start="1080" w:end="0"/>
        <w:rPr>
          <w:b/>
        </w:rPr>
      </w:pPr>
      <w:r>
        <w:rPr/>
        <w:t xml:space="preserve">The need to standardization of weather derivative confirmations was raised and discussed.  The need focused on an ISDA-based weather derivative confirmation.  It was suggested that this be reviewed in context of the commodity derivative definition update with suggested confirmation forms.  </w:t>
      </w:r>
    </w:p>
    <w:p>
      <w:pPr>
        <w:pStyle w:val="Normal"/>
        <w:numPr>
          <w:ilvl w:val="0"/>
          <w:numId w:val="2"/>
        </w:numPr>
        <w:tabs>
          <w:tab w:val="clear" w:pos="720"/>
          <w:tab w:val="left" w:pos="1080" w:leader="none"/>
        </w:tabs>
        <w:ind w:hanging="360" w:start="1080" w:end="0"/>
        <w:rPr>
          <w:b/>
        </w:rPr>
      </w:pPr>
      <w:r>
        <w:rPr/>
        <w:t>It was agreed that ISDA would poll the committee on interest in this issue.</w:t>
      </w:r>
    </w:p>
    <w:p>
      <w:pPr>
        <w:pStyle w:val="Normal"/>
        <w:ind w:start="360" w:end="0"/>
        <w:rPr>
          <w:b/>
        </w:rPr>
      </w:pPr>
      <w:r>
        <w:rPr>
          <w:b/>
        </w:rPr>
        <w:t xml:space="preserve"> </w:t>
      </w:r>
    </w:p>
    <w:p>
      <w:pPr>
        <w:pStyle w:val="Normal"/>
        <w:rPr>
          <w:b/>
        </w:rPr>
      </w:pPr>
      <w:r>
        <w:rPr>
          <w:b/>
        </w:rPr>
      </w:r>
    </w:p>
    <w:sectPr>
      <w:footerReference w:type="default" r:id="rId3"/>
      <w:type w:val="nextPage"/>
      <w:pgSz w:w="12240" w:h="15840"/>
      <w:pgMar w:left="1440" w:right="1584" w:gutter="0" w:header="0" w:top="720" w:footer="720" w:bottom="776"/>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54.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i/>
      <w:u w:val="single"/>
    </w:rPr>
  </w:style>
  <w:style w:type="paragraph" w:styleId="Heading3">
    <w:name w:val="heading 3"/>
    <w:basedOn w:val="Normal"/>
    <w:next w:val="Normal"/>
    <w:qFormat/>
    <w:pPr>
      <w:keepNext w:val="true"/>
      <w:numPr>
        <w:ilvl w:val="2"/>
        <w:numId w:val="1"/>
      </w:numPr>
      <w:outlineLvl w:val="2"/>
    </w:pPr>
    <w:rPr>
      <w:b/>
      <w:i/>
      <w:u w:val="single"/>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outlineLvl w:val="4"/>
    </w:pPr>
    <w:rPr>
      <w:b/>
      <w:i/>
    </w:rPr>
  </w:style>
  <w:style w:type="paragraph" w:styleId="Heading6">
    <w:name w:val="heading 6"/>
    <w:basedOn w:val="Normal"/>
    <w:next w:val="Normal"/>
    <w:qFormat/>
    <w:pPr>
      <w:keepNext w:val="true"/>
      <w:numPr>
        <w:ilvl w:val="5"/>
        <w:numId w:val="1"/>
      </w:numPr>
      <w:ind w:hanging="0" w:start="360" w:end="0"/>
      <w:outlineLvl w:val="5"/>
    </w:pPr>
    <w:rPr>
      <w:b/>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2001-11-05T16:46:00Z</dcterms:created>
  <dc:creator>Stacy Carey</dc:creator>
  <dc:description/>
  <dc:language>en-CA</dc:language>
  <cp:lastModifiedBy>Stacy Carey</cp:lastModifiedBy>
  <cp:lastPrinted>2001-11-05T13:52:00Z</cp:lastPrinted>
  <dcterms:modified xsi:type="dcterms:W3CDTF">2001-11-05T16:52:00Z</dcterms:modified>
  <cp:revision>3</cp:revision>
  <dc:subject/>
  <dc:title>International Swaps and Derivatives Association</dc:title>
</cp:coreProperties>
</file>