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FERC Declares California ISO Must Stop Preferential Treatment for State Agency. </w:t>
      </w:r>
      <w:r>
        <w:rPr>
          <w:bCs/>
          <w:color w:val="333399"/>
        </w:rPr>
        <w:t xml:space="preserve">In the public meeting yesterday, FERC told the California ISO that it may not give preferential treatment to the state’s Dept. of Water Resources. FERC received complaints from Reliant and Mirant companies that the ISO is buying energy from the DWR outside of the ISO tariff mechanisms. There are allegations of sharing confidential information with DWR. FERC directs the ISO to provide market transparency by posting detailed reasons and circumstances for its out-of-market actions on its website. DWR does not deny most of the allegations but feels entitlement to special considerations as a sole guarantor of payment. FERC has denied the complainant’s request for an investigation given that material facts were not in question.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i/>
          <w:iCs/>
          <w:color w:val="333399"/>
        </w:rPr>
        <w:t xml:space="preserve">Electric: </w:t>
      </w:r>
      <w:r>
        <w:rPr>
          <w:b/>
          <w:color w:val="333399"/>
        </w:rPr>
        <w:t xml:space="preserve">FERC Announces New Interim Generation Market Power Screen and Mitigation Policy. </w:t>
      </w:r>
      <w:r>
        <w:rPr>
          <w:bCs/>
          <w:color w:val="333399"/>
        </w:rPr>
        <w:t>FERC has announced a new screen, called the Supply Margin Assessment (SMA). SMA will apply to market-based rate applications and triennial reviews on an interim basis pending a generic review of new methods for analyzing market power. FERC’s hub and spoke analysis no longer adequately protects customers against generation market power. The SMA screen will consider transmission constraints and establishes a threshold based on whether an applicant is pivotal in the market. According to this market screen, three utilities do not meet the test: Entergy, Southern Co., and AEP. ER96-2495</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i/>
          <w:iCs/>
          <w:color w:val="333399"/>
        </w:rPr>
        <w:t xml:space="preserve">Electric: </w:t>
      </w:r>
      <w:r>
        <w:rPr>
          <w:b/>
          <w:color w:val="333399"/>
        </w:rPr>
        <w:t xml:space="preserve">FERC Proposes to Revise Market-Based Rate Tariffs. </w:t>
      </w:r>
      <w:r>
        <w:rPr>
          <w:bCs/>
          <w:color w:val="333399"/>
        </w:rPr>
        <w:t xml:space="preserve">FERC is proposing to revise all existing market-based rate tariffs and authorizations in order to prohibit anti-competitive behavior or the exercise of market power. FERC also instituted a proceeding to establish a refund effective date should it find that electric power rates are unjust and unreasonable. Admittedly FERC has found no market power abuses, but expresses concern about the potential to exercise market power or anti-competitive behavior. Commissioner Massey conceded this approach is better than nothing, however, his concern is not finding bad behavior for the California market but rather an out-of-control market. Essentially, no bad behavior apparent, no refunds justified.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Affirms Its Jurisdiction over LNG Import Facilities. </w:t>
      </w:r>
      <w:r>
        <w:rPr>
          <w:bCs/>
          <w:color w:val="333399"/>
        </w:rPr>
        <w:t>FERC has denied a petition in which</w:t>
      </w:r>
      <w:r>
        <w:rPr>
          <w:b/>
          <w:color w:val="333399"/>
        </w:rPr>
        <w:t xml:space="preserve"> </w:t>
      </w:r>
      <w:r>
        <w:rPr>
          <w:bCs/>
          <w:color w:val="333399"/>
        </w:rPr>
        <w:t xml:space="preserve">Dynegy LNG requested that FERC disclaim jurisdiction over the siting, construction and operation of a liquefied natural gas import facility in light of the Energy Policy Act of 1992’s amendment to section 3 of NGA. This order denies Dynegy’s request finding that there is no indication that Congress intended to remove FERC jurisdiction and there are both legal and policy arguments that compel FERC to retain jurisdiction. </w:t>
      </w:r>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Partial Day Recalls. </w:t>
      </w:r>
      <w:r>
        <w:rPr>
          <w:bCs/>
          <w:color w:val="333399"/>
        </w:rPr>
        <w:t xml:space="preserve"> INGAA filed comments on November 19, 2001 opposing allowing shippers to recall released capacity and renominate that space at another time during the trading day as proposed in the NOPR, RM96-1-019. While the FERC proposal on recall rights may increase flexibility of capacity release transactions for certain shippers, it would also increase market volatility and reduce reliability for others by raising new scheduling and balancing concerns that could affect suppliers, operators, shippers and markets. To lessen these concerns, pipelines should not be required to provide excess firm capacity to the replacement shipper than under contract with the original shipper. In comments, INGAA requests clarification that all flowing day recalls are based on full day quantities for entitlements, nominations and allocations to be consistent with contracts and other transactions. Also requested of FERC in a final rule is that pipelines are allowed sufficient time to update their systems to support scheduling.  </w:t>
      </w:r>
      <w:hyperlink r:id="rId2">
        <w:r>
          <w:rPr>
            <w:rStyle w:val="Hyperlink"/>
            <w:bCs/>
          </w:rPr>
          <w:t>INGAA Comments</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Florida Gas</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Approved filing in compliance with September 13, 2001 order concerning Standards of Conduct by explaining the timing of posting information pertaining to the ale of a former marketing affiliate and to the sharing of facilities with that affiliate. MG01-23</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Accepts restated annual reports of system balancing activities, previously filed beginning 1995 through 2000, subject to recalculation for interest on refunds. FERC directs FGT to recalculate interest for additional excess revenues owed customers due to a change in method from in-kind to a cash basis for the period of February 16, 1995 through December 22, 2000. RP01-511</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INGAA Seeks Rehearing in Petal Gas Storage Concerning Adjusted Rate of Return on Equity. </w:t>
      </w:r>
      <w:r>
        <w:rPr>
          <w:bCs/>
          <w:color w:val="333399"/>
        </w:rPr>
        <w:t xml:space="preserve">INGAA intends to file a request to seek rehearing out of time of </w:t>
      </w:r>
      <w:r>
        <w:rPr>
          <w:bCs/>
          <w:i/>
          <w:iCs/>
          <w:color w:val="333399"/>
        </w:rPr>
        <w:t>Petal Gas Storage</w:t>
      </w:r>
      <w:r>
        <w:rPr>
          <w:bCs/>
          <w:color w:val="333399"/>
        </w:rPr>
        <w:t xml:space="preserve">, Docket No. CP01-69 in which FERC has adjusted the rate of return on equity downward from 15% to 12.6% in an order issued October 25. In this order, Petal Gas received authorization to construct 59 miles of pipeline and compression in Mississippi and is a natural gas company within the meaning of NGA. In its analysis of ROE, FERC changed the proxy group mix that will have a bearing for all natural gas companies. In </w:t>
      </w:r>
      <w:r>
        <w:rPr>
          <w:bCs/>
          <w:i/>
          <w:iCs/>
          <w:color w:val="333399"/>
        </w:rPr>
        <w:t>Petal Gas</w:t>
      </w:r>
      <w:r>
        <w:rPr>
          <w:bCs/>
          <w:color w:val="333399"/>
        </w:rPr>
        <w:t xml:space="preserve">, FERC used an 11-company proxy group including electric utilities. (CMS Energy, Duke Energy, El Paso Energy, Equitable, Kinder Morgan, MDU Resources, National Fuel Gas, NiSource, Questar, Reliant Energy and Williams). This change in methodology has the effect of lowering the rate of return. </w:t>
      </w:r>
      <w:hyperlink r:id="rId3">
        <w:r>
          <w:rPr>
            <w:rStyle w:val="Hyperlink"/>
            <w:bCs/>
          </w:rPr>
          <w:t>CP01-69</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Signals Shift Away From Individual Negotiated Pipeline Deals. </w:t>
      </w:r>
      <w:r>
        <w:rPr>
          <w:bCs/>
          <w:color w:val="333399"/>
        </w:rPr>
        <w:t>FERC is shifting policy on negotiated transactions now requiring pipelines negotiating individual deals that include “material deviations” from their form of service agreements to offer the service to other similarly situated shippers on their systems. A FERC source said this is a signal that the pendulum is swinging back to standardized service. The issue of whether negotiated agreements included rates or whether they include terms and conditions of service is now avoided. The new focus is on whether a “material deviation” poses the risk of undue discrimination to other shippers’ on the pipeline’s system. A “material deviation” is defined as any provision that “goes beyond filling in the spaces in the form of service agreement with the appropriate information provided for in the tariff and that affects the substantive rates of the party.” The new policy clarification was outlined in five separate orders:</w:t>
      </w:r>
    </w:p>
    <w:p>
      <w:pPr>
        <w:pStyle w:val="Header"/>
        <w:tabs>
          <w:tab w:val="clear" w:pos="4320"/>
          <w:tab w:val="clear" w:pos="8640"/>
        </w:tabs>
        <w:ind w:start="1440" w:end="0"/>
        <w:rPr/>
      </w:pPr>
      <w:r>
        <w:rPr>
          <w:bCs/>
          <w:i/>
          <w:iCs/>
          <w:color w:val="333399"/>
        </w:rPr>
        <w:t xml:space="preserve">Tennessee Gas, </w:t>
      </w:r>
      <w:hyperlink r:id="rId4">
        <w:r>
          <w:rPr>
            <w:rStyle w:val="Hyperlink"/>
            <w:bCs/>
            <w:i/>
            <w:iCs/>
          </w:rPr>
          <w:t>RP96-312</w:t>
        </w:r>
      </w:hyperlink>
      <w:r>
        <w:rPr>
          <w:bCs/>
          <w:color w:val="333399"/>
        </w:rPr>
        <w:t xml:space="preserve"> </w:t>
      </w:r>
    </w:p>
    <w:p>
      <w:pPr>
        <w:pStyle w:val="Header"/>
        <w:tabs>
          <w:tab w:val="clear" w:pos="4320"/>
          <w:tab w:val="clear" w:pos="8640"/>
        </w:tabs>
        <w:ind w:start="1440" w:end="0"/>
        <w:rPr>
          <w:bCs/>
          <w:i/>
          <w:i/>
          <w:iCs/>
          <w:color w:val="333399"/>
        </w:rPr>
      </w:pPr>
      <w:r>
        <w:rPr>
          <w:bCs/>
          <w:i/>
          <w:iCs/>
          <w:color w:val="333399"/>
        </w:rPr>
        <w:t xml:space="preserve">ANR Pipeline, </w:t>
      </w:r>
      <w:hyperlink r:id="rId5">
        <w:r>
          <w:rPr>
            <w:rStyle w:val="Hyperlink"/>
            <w:bCs/>
            <w:i/>
            <w:iCs/>
          </w:rPr>
          <w:t>GT01-25</w:t>
        </w:r>
      </w:hyperlink>
    </w:p>
    <w:p>
      <w:pPr>
        <w:pStyle w:val="Header"/>
        <w:tabs>
          <w:tab w:val="clear" w:pos="4320"/>
          <w:tab w:val="clear" w:pos="8640"/>
        </w:tabs>
        <w:ind w:start="1440" w:end="0"/>
        <w:rPr>
          <w:bCs/>
          <w:i/>
          <w:i/>
          <w:iCs/>
          <w:color w:val="333399"/>
        </w:rPr>
      </w:pPr>
      <w:r>
        <w:rPr>
          <w:bCs/>
          <w:i/>
          <w:iCs/>
          <w:color w:val="333399"/>
        </w:rPr>
        <w:t xml:space="preserve">ANR Pipeline, </w:t>
      </w:r>
      <w:hyperlink r:id="rId6">
        <w:r>
          <w:rPr>
            <w:rStyle w:val="Hyperlink"/>
            <w:bCs/>
            <w:i/>
            <w:iCs/>
          </w:rPr>
          <w:t>RP99-301</w:t>
        </w:r>
      </w:hyperlink>
    </w:p>
    <w:p>
      <w:pPr>
        <w:pStyle w:val="Header"/>
        <w:tabs>
          <w:tab w:val="clear" w:pos="4320"/>
          <w:tab w:val="clear" w:pos="8640"/>
        </w:tabs>
        <w:ind w:start="1440" w:end="0"/>
        <w:rPr>
          <w:bCs/>
          <w:i/>
          <w:i/>
          <w:iCs/>
          <w:color w:val="333399"/>
        </w:rPr>
      </w:pPr>
      <w:r>
        <w:rPr>
          <w:bCs/>
          <w:i/>
          <w:iCs/>
          <w:color w:val="333399"/>
        </w:rPr>
        <w:t xml:space="preserve">ANR Pipeline, </w:t>
      </w:r>
      <w:hyperlink r:id="rId7">
        <w:r>
          <w:rPr>
            <w:rStyle w:val="Hyperlink"/>
            <w:bCs/>
            <w:i/>
            <w:iCs/>
          </w:rPr>
          <w:t>RP99-301</w:t>
        </w:r>
      </w:hyperlink>
    </w:p>
    <w:p>
      <w:pPr>
        <w:pStyle w:val="Header"/>
        <w:tabs>
          <w:tab w:val="clear" w:pos="4320"/>
          <w:tab w:val="clear" w:pos="8640"/>
        </w:tabs>
        <w:ind w:start="1440" w:end="0"/>
        <w:rPr>
          <w:bCs/>
          <w:i/>
          <w:i/>
          <w:iCs/>
          <w:color w:val="333399"/>
        </w:rPr>
      </w:pPr>
      <w:r>
        <w:rPr>
          <w:bCs/>
          <w:i/>
          <w:iCs/>
          <w:color w:val="333399"/>
        </w:rPr>
        <w:t xml:space="preserve">Columbia Gas, </w:t>
      </w:r>
      <w:hyperlink r:id="rId8">
        <w:r>
          <w:rPr>
            <w:rStyle w:val="Hyperlink"/>
            <w:bCs/>
            <w:i/>
            <w:iCs/>
          </w:rPr>
          <w:t>CP01-70</w:t>
        </w:r>
      </w:hyperlink>
    </w:p>
    <w:p>
      <w:pPr>
        <w:pStyle w:val="Header"/>
        <w:tabs>
          <w:tab w:val="clear" w:pos="4320"/>
          <w:tab w:val="clear" w:pos="8640"/>
        </w:tabs>
        <w:ind w:start="720" w:end="0"/>
        <w:rPr>
          <w:bCs/>
          <w:color w:val="333399"/>
        </w:rPr>
      </w:pPr>
      <w:r>
        <w:rPr>
          <w:bCs/>
          <w:color w:val="333399"/>
        </w:rPr>
        <w:t xml:space="preserve">The decision reverses precedent, which had allowed customers to terminate or buy out all or some of their contract demand before the end of their contracts as part of individually negotiated agreements. The new analysis shifts the emphasis away from rates v. terms and conditions.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Domininion Order Denies Rehearing on 637 Proceeding (CIG’s Discount Policy) . </w:t>
      </w:r>
      <w:r>
        <w:rPr>
          <w:bCs/>
          <w:color w:val="333399"/>
        </w:rPr>
        <w:t xml:space="preserve">In a draft order issued November 20, FERC denies Dominion’s request for rehearing of FERC’s September 12, 2001 order requiring Dominion to follow CIG’s discount policy. This policy will allow shippers to benefit from the scheduling equality principles of Order 637. [establishing a rebuttable presumption allowing a shipper to retain a discount when it utilizes alternate points. Further refined in </w:t>
      </w:r>
      <w:r>
        <w:rPr>
          <w:bCs/>
          <w:i/>
          <w:iCs/>
          <w:color w:val="333399"/>
        </w:rPr>
        <w:t>Dominion</w:t>
      </w:r>
      <w:r>
        <w:rPr>
          <w:bCs/>
          <w:color w:val="333399"/>
        </w:rPr>
        <w:t xml:space="preserve"> order to include in its tariff the specific obligation to process shipper requests to retain discounts in no longer than two hours from the time the request is submitted. Policy also announced in </w:t>
      </w:r>
      <w:r>
        <w:rPr>
          <w:bCs/>
          <w:i/>
          <w:iCs/>
          <w:color w:val="333399"/>
        </w:rPr>
        <w:t>Granite State</w:t>
      </w:r>
      <w:r>
        <w:rPr>
          <w:bCs/>
          <w:color w:val="333399"/>
        </w:rPr>
        <w:t xml:space="preserve">]. Dominion argues that FERC modified an approved settlement by directing the implementation of the </w:t>
      </w:r>
      <w:r>
        <w:rPr>
          <w:bCs/>
          <w:i/>
          <w:iCs/>
          <w:color w:val="333399"/>
        </w:rPr>
        <w:t>CIG</w:t>
      </w:r>
      <w:r>
        <w:rPr>
          <w:bCs/>
          <w:color w:val="333399"/>
        </w:rPr>
        <w:t xml:space="preserve"> policy and also mandating two-hour responses to discount requests. Dominion asserts that FERC has not evidenced an unjust and unreasonable existing discount policy required under Section 5 of NGA. FERC denies rehearing stating that Dominion and its customers were on notice in Dominion’s Order 637 compliance filing that FERC would be addressing discount policy. Dominion’s settlement failed to address discounting issues, and was not questioned after release of the May 31 settlement order. FERC states that the two revisions required of Dominion were further refinement of the </w:t>
      </w:r>
      <w:r>
        <w:rPr>
          <w:bCs/>
          <w:i/>
          <w:iCs/>
          <w:color w:val="333399"/>
        </w:rPr>
        <w:t xml:space="preserve">CIG </w:t>
      </w:r>
      <w:r>
        <w:rPr>
          <w:bCs/>
          <w:color w:val="333399"/>
        </w:rPr>
        <w:t xml:space="preserve">discount policy, and already applicable to Dominion. The two-hour response time for processing requests to retain discounts is necessary to ensure that shippers who wish to change receipt or delivery points through capacity release, segmentation or flexible point authority have nomination equality with the pipeline’s firm shippers. If Dominion were not required to include the two-hour procedure, replacement shippers would be at a disadvantage with respect to the pipeline’s primary firm shippers. Further, FERC finds incorporating these refinements is permitted under Section 5 because Dominion’s tariff would not be just and reasonable without these provisions. </w:t>
      </w:r>
      <w:hyperlink r:id="rId9">
        <w:r>
          <w:rPr>
            <w:rStyle w:val="Hyperlink"/>
            <w:bCs/>
          </w:rPr>
          <w:t>RP00-344</w:t>
        </w:r>
      </w:hyperlink>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CPUC v. El Paso (Natural Gas, Merchant Energy-Gas, Merchant Energy) Order Grants Motion To Compel. </w:t>
      </w:r>
      <w:r>
        <w:rPr>
          <w:bCs/>
          <w:color w:val="333399"/>
        </w:rPr>
        <w:t xml:space="preserve">In an order issued November 16, FERC grants SoCalGas’ motion for expedited consideration to compel the return of highly sensitive protected materials and the possible imposition of sanctions. FERC also is requesting Edison to show cause why it and its representatives have not violated the terms of the protection order in this case and why sanctions should not be imposed. </w:t>
      </w:r>
      <w:hyperlink r:id="rId10">
        <w:r>
          <w:rPr>
            <w:rStyle w:val="Hyperlink"/>
            <w:bCs/>
          </w:rPr>
          <w:t>RP00-241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Northwest Pipeline Order Rejects Delivery Point Capacity Right Provisions. </w:t>
      </w:r>
      <w:r>
        <w:rPr>
          <w:bCs/>
          <w:color w:val="333399"/>
        </w:rPr>
        <w:t xml:space="preserve">In an order issued November 16, FERC rejects Northwest’s proposal to provide shipper’s right to delivery point capacity when capacity is available solely due to the construction or upgrade of meter station facilities, requested and paid for by that shipper. Northwest also requested that the delivery point facilities constructed by a shipper will be reserved for the shipper’s use for five years. Northwest’s proposal is discriminatory in that it unduly limits open access service since it would provide exclusive rights to segment capacity only to the shipper paying for the upgraded facility. Policy does not permit shippers to reserve delivery point capacity for future use. </w:t>
      </w:r>
      <w:hyperlink r:id="rId11">
        <w:r>
          <w:rPr>
            <w:rStyle w:val="Hyperlink"/>
            <w:bCs/>
          </w:rPr>
          <w:t>RP02-21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Southern Natural Issued Notice of Intent for Preparation of Environmental Assessment.</w:t>
      </w:r>
      <w:r>
        <w:rPr>
          <w:bCs/>
          <w:color w:val="333399"/>
        </w:rPr>
        <w:t xml:space="preserve"> Staff will prepare an environmental assessment of Southern’s proposed South System Expansion II Project involving construction of facilities in Louisiana, Mississippi, Alabama, and Georgia. These facilities consist of about 123.3 miles of pipeline, modifications to compressor stations, and construction of a new compressor station. </w:t>
      </w:r>
      <w:hyperlink r:id="rId12">
        <w:r>
          <w:rPr>
            <w:rStyle w:val="Hyperlink"/>
            <w:bCs/>
          </w:rPr>
          <w:t>CP02-1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Bay Gas Storage Files Petition for Rate Approval. </w:t>
      </w:r>
      <w:r>
        <w:rPr>
          <w:bCs/>
          <w:color w:val="333399"/>
        </w:rPr>
        <w:t xml:space="preserve">On November 6, 2001 Bay Gas Storage filed a petition for rate approval for firm service at a rate of $1.0123 per MMBtu and an interruptible rate of $0.03328 per MMBtu on its systems. </w:t>
      </w:r>
      <w:hyperlink r:id="rId13">
        <w:r>
          <w:rPr>
            <w:rStyle w:val="Hyperlink"/>
            <w:bCs/>
          </w:rPr>
          <w:t>PR02-3</w:t>
        </w:r>
      </w:hyperlink>
    </w:p>
    <w:p>
      <w:pPr>
        <w:pStyle w:val="Header"/>
        <w:tabs>
          <w:tab w:val="clear" w:pos="4320"/>
          <w:tab w:val="clear" w:pos="8640"/>
        </w:tabs>
        <w:rPr>
          <w:bCs/>
          <w:color w:val="333399"/>
        </w:rPr>
      </w:pPr>
      <w:r>
        <w:rPr>
          <w:bCs/>
          <w:color w:val="333399"/>
        </w:rPr>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Legislative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Pipeline Leaders Urge Passage of Safety Bill. </w:t>
      </w:r>
      <w:r>
        <w:rPr>
          <w:bCs/>
          <w:color w:val="333399"/>
        </w:rPr>
        <w:t xml:space="preserve">Top pipeline industry leaders and key trade associations urged passage of an effective and responsible bill to promote safety of the two million miles of oil and natural gas pipelines. In a letter released Tuesday addressed to the DOT, representatives presented a united position paper calling for pipeline safety regulatory and legislative action outlining principles that should guide discussions. Included are issues such as increasing safety, enhancing public confidence in pipeline network, and providing adequate staff and funding.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Industry Matters</w:t>
      </w:r>
    </w:p>
    <w:p>
      <w:pPr>
        <w:pStyle w:val="Header"/>
        <w:tabs>
          <w:tab w:val="clear" w:pos="4320"/>
          <w:tab w:val="clear" w:pos="8640"/>
        </w:tabs>
        <w:jc w:val="center"/>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DOE Official Finds States Will Lead Security Issues. </w:t>
      </w:r>
      <w:r>
        <w:rPr>
          <w:bCs/>
          <w:color w:val="333399"/>
        </w:rPr>
        <w:t>The first line of defense when it comes to defending critical energy infrastructure will be placed on the states, not Washington, D.C. homeland security, said the DOE at the annual convention of National Association of Regulatory Utility Commissioners this week. Teams will be formed from federal, state and industry to develop and implement plans to secure the infrastructure.</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EIA Storage Survey Faces OMB Review and Months of Testing. </w:t>
      </w:r>
      <w:r>
        <w:rPr>
          <w:bCs/>
          <w:color w:val="333399"/>
        </w:rPr>
        <w:t xml:space="preserve">The Energy Information Administration is preparing to take over of the AGA’s storage survey at the end of the winter. However, it will take EIA months to get up and running. The weekly gas storage survey will be similar to AGA’s but one important difference is that it will require mandatory participation from companies it chooses to be part of the survey sample. It will also be able to compare reported weekly data with its longstanding monthly information from storage companies. </w:t>
      </w:r>
    </w:p>
    <w:p>
      <w:pPr>
        <w:pStyle w:val="Header"/>
        <w:tabs>
          <w:tab w:val="clear" w:pos="4320"/>
          <w:tab w:val="clear" w:pos="8640"/>
        </w:tabs>
        <w:rPr>
          <w:b/>
          <w:bCs/>
          <w:shadow/>
          <w:color w:val="333399"/>
        </w:rPr>
      </w:pPr>
      <w:r>
        <w:rPr>
          <w:b/>
          <w:bCs/>
          <w:shadow/>
          <w:color w:val="333399"/>
        </w:rPr>
      </w:r>
    </w:p>
    <w:sectPr>
      <w:footerReference w:type="default" r:id="rId1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Template.doc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Gopal&apos;s%20Redline%20of%20Final%20Draft%20INGAA%20Comments2.pdf" TargetMode="External"/><Relationship Id="rId3" Type="http://schemas.openxmlformats.org/officeDocument/2006/relationships/hyperlink" Target="http://cips.ferc.gov/Q/CIPS/GAS/CP/CP01-69.00I.TXT" TargetMode="External"/><Relationship Id="rId4" Type="http://schemas.openxmlformats.org/officeDocument/2006/relationships/hyperlink" Target="http://cips.ferc.gov/Q/CIPS/GAS/RP/RP96-312.017.TXT" TargetMode="External"/><Relationship Id="rId5" Type="http://schemas.openxmlformats.org/officeDocument/2006/relationships/hyperlink" Target="http://cips.ferc.gov/Q/CIPS/GAS/GT/GT01-25.00C.TXT" TargetMode="External"/><Relationship Id="rId6" Type="http://schemas.openxmlformats.org/officeDocument/2006/relationships/hyperlink" Target="http://cips.ferc.gov/Q/CIPS/GAS/RP/RP99-301.00Z.TXT" TargetMode="External"/><Relationship Id="rId7" Type="http://schemas.openxmlformats.org/officeDocument/2006/relationships/hyperlink" Target="http://cips.ferc.gov/Q/CIPS/GAS/RP/RP99-301.0AA.TXT" TargetMode="External"/><Relationship Id="rId8" Type="http://schemas.openxmlformats.org/officeDocument/2006/relationships/hyperlink" Target="http://cips.ferc.gov/Q/CIPS/GAS/CP/CP01-70.00E.TXT" TargetMode="External"/><Relationship Id="rId9" Type="http://schemas.openxmlformats.org/officeDocument/2006/relationships/hyperlink" Target="http://cips.ferc.gov/Q/CIPS/GAS/RP/RP00-344.00H.TXT" TargetMode="External"/><Relationship Id="rId10" Type="http://schemas.openxmlformats.org/officeDocument/2006/relationships/hyperlink" Target="http://cips.ferc.gov/Q/CIPS/GAS/RP/RP00-241.0AQ.TXT" TargetMode="External"/><Relationship Id="rId11" Type="http://schemas.openxmlformats.org/officeDocument/2006/relationships/hyperlink" Target="http://cips.ferc.gov/Q/CIPS/GAS/RP/RP02-21.00A.TXT" TargetMode="External"/><Relationship Id="rId12" Type="http://schemas.openxmlformats.org/officeDocument/2006/relationships/hyperlink" Target="http://cips.ferc.gov/Q/CIPS/GAS/CP/CP02-1.00A.TXT" TargetMode="External"/><Relationship Id="rId13" Type="http://schemas.openxmlformats.org/officeDocument/2006/relationships/hyperlink" Target="http://cips.ferc.gov/Q/CIPS/GAS/PR/PR02-3.000.TXT"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2001-11-20T18:42:00Z</dcterms:created>
  <dc:creator>jbutler</dc:creator>
  <dc:description/>
  <dc:language>en-CA</dc:language>
  <cp:lastModifiedBy>jbutler</cp:lastModifiedBy>
  <dcterms:modified xsi:type="dcterms:W3CDTF">2001-11-21T18:46:00Z</dcterms:modified>
  <cp:revision>8</cp:revision>
  <dc:subject/>
  <dc:title>General FERC Matters</dc:title>
</cp:coreProperties>
</file>