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sz w:val="28"/>
        </w:rPr>
      </w:pPr>
      <w:r>
        <w:rPr>
          <w:sz w:val="28"/>
        </w:rPr>
        <w:br/>
      </w:r>
    </w:p>
    <w:p>
      <w:pPr>
        <w:pStyle w:val="Header"/>
        <w:tabs>
          <w:tab w:val="clear" w:pos="4320"/>
          <w:tab w:val="clear" w:pos="8640"/>
        </w:tabs>
        <w:jc w:val="center"/>
        <w:rPr>
          <w:b/>
          <w:shadow/>
          <w:color w:val="333399"/>
        </w:rPr>
      </w:pPr>
      <w:r>
        <w:rPr>
          <w:b/>
          <w:shadow/>
          <w:color w:val="333399"/>
        </w:rPr>
        <w:t>General FERC Matters</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FERC Convenes Workshop on Hydro Licensing Status. </w:t>
      </w:r>
      <w:r>
        <w:rPr>
          <w:bCs/>
          <w:color w:val="333399"/>
        </w:rPr>
        <w:t xml:space="preserve">FERC states it will hold a public workshop to focus on the oldest 51 pending license applications filed at FERC. All unresolved issues will be discussed to find solutions. The workshops will be held on December 10/11. </w:t>
      </w:r>
    </w:p>
    <w:p>
      <w:pPr>
        <w:pStyle w:val="Header"/>
        <w:tabs>
          <w:tab w:val="clear" w:pos="4320"/>
          <w:tab w:val="clear" w:pos="8640"/>
        </w:tabs>
        <w:rPr>
          <w:b/>
          <w:bCs/>
          <w:shadow/>
          <w:color w:val="333399"/>
        </w:rPr>
      </w:pPr>
      <w:r>
        <w:rPr>
          <w:b/>
          <w:bCs/>
          <w:shadow/>
          <w:color w:val="333399"/>
        </w:rPr>
      </w:r>
    </w:p>
    <w:p>
      <w:pPr>
        <w:pStyle w:val="Header"/>
        <w:tabs>
          <w:tab w:val="clear" w:pos="4320"/>
          <w:tab w:val="clear" w:pos="8640"/>
        </w:tabs>
        <w:jc w:val="center"/>
        <w:rPr>
          <w:b/>
          <w:shadow/>
          <w:color w:val="333399"/>
        </w:rPr>
      </w:pPr>
      <w:r>
        <w:rPr>
          <w:b/>
          <w:shadow/>
          <w:color w:val="333399"/>
        </w:rPr>
        <w:t>FERC Rulemaking</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Electronic Filing Expands to Include Requests for Rehearing, Procedural and Other Motions. </w:t>
      </w:r>
      <w:r>
        <w:rPr>
          <w:bCs/>
          <w:color w:val="333399"/>
        </w:rPr>
        <w:t xml:space="preserve">FERC has now extended the range of filings that will be permitted via electronic mail to include requests for rehearing, procedural and other motions, answers and responses and settlement comments. </w:t>
      </w:r>
      <w:hyperlink r:id="rId2">
        <w:r>
          <w:rPr>
            <w:rStyle w:val="Hyperlink"/>
            <w:bCs/>
          </w:rPr>
          <w:t>RM00-12</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INGAA Files Comments in Advisory Council Notice of Intent On Historic Preservation. </w:t>
      </w:r>
      <w:r>
        <w:rPr>
          <w:bCs/>
          <w:color w:val="333399"/>
        </w:rPr>
        <w:t xml:space="preserve">In issuing its NOI, the Advisory Council proposes to streamline the section 106 historic preservation review process of natural gas pipelines. However, it appears that the proposal outlining the steps that the Advisory Council suggests does not expedite certification. Rather, if even one state historic preservation officer finds that the pipeline is eligible under the National Register of Historic Places Act, the pipeline is automatically is required to file a full section 7 (c) certificate application. The proposal requires </w:t>
      </w:r>
      <w:r>
        <w:rPr>
          <w:bCs/>
          <w:color w:val="333399"/>
          <w:u w:val="single"/>
        </w:rPr>
        <w:t>all</w:t>
      </w:r>
      <w:r>
        <w:rPr>
          <w:bCs/>
          <w:color w:val="333399"/>
        </w:rPr>
        <w:t xml:space="preserve"> pipelines with projects affecting pipelines 50 years old or older not previously evaluated for listing in the National Register to consult with the appropriate SHPO to determine whether the pipeline will be deemed eligible.  In effect, it places an affirmative duty on the pipeline to inventory its system for the SHPO to identify 50-year-old pipelines and have the appropriate SHPO make a determination as to the pipeline’s eligibility. During this time, the pipeline cannot build or move forward on the facility. INGAA counters these comments by stating that the National Historic Preservation Act never intended 50 year old or older pipelines to be eligible for listing in the National Register of Historic Places. A state historic preservation officer can still determine that a pipeline should be treated as a historic property for section 106 purposes under the proposal, INGAA believes expedited certification will only be met if older pipelines are exempted. </w:t>
      </w:r>
      <w:hyperlink r:id="rId3">
        <w:r>
          <w:rPr>
            <w:rStyle w:val="Hyperlink"/>
            <w:bCs/>
          </w:rPr>
          <w:t>INGAA</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Summary of Comments on Electronic Service of Documents. </w:t>
      </w:r>
      <w:r>
        <w:rPr>
          <w:bCs/>
          <w:color w:val="333399"/>
        </w:rPr>
        <w:t xml:space="preserve">In RM01-11 FERC issued an NOI on September 27 proposing two new services utilizing electronic means for FERC issuances. Most commenters support FERC’s initiatives; however, a couple proposed that FERC enhance the existing CIPS and RIMS systems, rather than creating two new systems. Most are in favor of immediate email of issuances; PDF formatting; using eService as the default method; and FERC being maintained as repository of service lists. All are opposed to charging any fees for these services: costs will be decreased due to postage, copying, labor curtailment in the use of the Internet. The summary is attached. </w:t>
      </w:r>
      <w:hyperlink r:id="rId4">
        <w:r>
          <w:rPr>
            <w:rStyle w:val="Hyperlink"/>
            <w:bCs/>
          </w:rPr>
          <w:t>RM01-11</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FERC Issues an “Order of Guidance” on RTO Formations. </w:t>
      </w:r>
      <w:r>
        <w:rPr>
          <w:bCs/>
          <w:color w:val="333399"/>
        </w:rPr>
        <w:t>In a six-page “Order of Guidance,” FERC lays out the intended road map for RTO implementation. There are two parallel tracks mentioned: the first track will be to finalize issues of geographic scope and governance of RTOs. These will be addressed in pending RT dockets. The second track for resolving RTO issues will be in the RM01-12 docket addressing transmission, tariff and market design issues. FERC intends that these two initiatives will move the nation forward to a seamless national power network. RM01-12</w:t>
      </w:r>
    </w:p>
    <w:p>
      <w:pPr>
        <w:pStyle w:val="Header"/>
        <w:tabs>
          <w:tab w:val="clear" w:pos="4320"/>
          <w:tab w:val="clear" w:pos="8640"/>
        </w:tabs>
        <w:rPr>
          <w:bCs/>
          <w:color w:val="333399"/>
        </w:rPr>
      </w:pPr>
      <w:r>
        <w:rPr>
          <w:bCs/>
          <w:color w:val="333399"/>
        </w:rPr>
      </w:r>
    </w:p>
    <w:p>
      <w:pPr>
        <w:pStyle w:val="Header"/>
        <w:tabs>
          <w:tab w:val="clear" w:pos="4320"/>
          <w:tab w:val="clear" w:pos="8640"/>
        </w:tabs>
        <w:jc w:val="center"/>
        <w:rPr>
          <w:b/>
          <w:shadow/>
          <w:color w:val="333399"/>
        </w:rPr>
      </w:pPr>
      <w:r>
        <w:rPr>
          <w:b/>
          <w:shadow/>
          <w:color w:val="333399"/>
        </w:rPr>
        <w:t>ETS Related Orders/Filings</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Florida Gas</w:t>
      </w:r>
    </w:p>
    <w:p>
      <w:pPr>
        <w:pStyle w:val="Header"/>
        <w:numPr>
          <w:ilvl w:val="0"/>
          <w:numId w:val="2"/>
        </w:numPr>
        <w:tabs>
          <w:tab w:val="clear" w:pos="4320"/>
          <w:tab w:val="clear" w:pos="8640"/>
          <w:tab w:val="left" w:pos="1080" w:leader="none"/>
        </w:tabs>
        <w:ind w:hanging="360" w:start="1080" w:end="0"/>
        <w:rPr>
          <w:bCs/>
          <w:color w:val="333399"/>
        </w:rPr>
      </w:pPr>
      <w:r>
        <w:rPr>
          <w:bCs/>
          <w:color w:val="333399"/>
        </w:rPr>
        <w:t>Accepted compliance letter responding to Florida Municipal Natural Gas Association’s request for FGT to develop a system permitting parties to determine time that bids for capacity are submitted. FGT states EBB provides such information. RP01-536</w:t>
      </w:r>
    </w:p>
    <w:p>
      <w:pPr>
        <w:pStyle w:val="Header"/>
        <w:numPr>
          <w:ilvl w:val="0"/>
          <w:numId w:val="1"/>
        </w:numPr>
        <w:tabs>
          <w:tab w:val="clear" w:pos="4320"/>
          <w:tab w:val="clear" w:pos="8640"/>
        </w:tabs>
        <w:rPr>
          <w:bCs/>
          <w:color w:val="333399"/>
        </w:rPr>
      </w:pPr>
      <w:r>
        <w:rPr>
          <w:b/>
          <w:color w:val="333399"/>
        </w:rPr>
        <w:t>Midwestern Gas</w:t>
      </w:r>
    </w:p>
    <w:p>
      <w:pPr>
        <w:pStyle w:val="Header"/>
        <w:numPr>
          <w:ilvl w:val="0"/>
          <w:numId w:val="5"/>
        </w:numPr>
        <w:tabs>
          <w:tab w:val="clear" w:pos="4320"/>
          <w:tab w:val="clear" w:pos="8640"/>
          <w:tab w:val="left" w:pos="1080" w:leader="none"/>
        </w:tabs>
        <w:ind w:hanging="360" w:start="1080" w:end="0"/>
        <w:rPr>
          <w:bCs/>
          <w:color w:val="333399"/>
        </w:rPr>
      </w:pPr>
      <w:r>
        <w:rPr>
          <w:bCs/>
          <w:color w:val="333399"/>
        </w:rPr>
        <w:t>Accepted revisions to standards of conduct under Order No. 637, MG01-30</w:t>
      </w:r>
    </w:p>
    <w:p>
      <w:pPr>
        <w:pStyle w:val="Header"/>
        <w:numPr>
          <w:ilvl w:val="0"/>
          <w:numId w:val="1"/>
        </w:numPr>
        <w:tabs>
          <w:tab w:val="clear" w:pos="4320"/>
          <w:tab w:val="clear" w:pos="8640"/>
        </w:tabs>
        <w:rPr>
          <w:bCs/>
          <w:color w:val="333399"/>
        </w:rPr>
      </w:pPr>
      <w:r>
        <w:rPr>
          <w:b/>
          <w:color w:val="333399"/>
        </w:rPr>
        <w:t>Northern Natural</w:t>
      </w:r>
    </w:p>
    <w:p>
      <w:pPr>
        <w:pStyle w:val="Header"/>
        <w:numPr>
          <w:ilvl w:val="0"/>
          <w:numId w:val="4"/>
        </w:numPr>
        <w:tabs>
          <w:tab w:val="clear" w:pos="4320"/>
          <w:tab w:val="clear" w:pos="8640"/>
          <w:tab w:val="left" w:pos="1080" w:leader="none"/>
        </w:tabs>
        <w:ind w:hanging="360" w:start="1080" w:end="0"/>
        <w:rPr>
          <w:bCs/>
          <w:color w:val="333399"/>
        </w:rPr>
      </w:pPr>
      <w:r>
        <w:rPr>
          <w:bCs/>
          <w:color w:val="333399"/>
        </w:rPr>
        <w:t>Order issued approves authorization to install new compressor units at Belleville Compressor Station located in Wisconsin, RP01-403</w:t>
      </w:r>
    </w:p>
    <w:p>
      <w:pPr>
        <w:pStyle w:val="Header"/>
        <w:numPr>
          <w:ilvl w:val="0"/>
          <w:numId w:val="1"/>
        </w:numPr>
        <w:tabs>
          <w:tab w:val="clear" w:pos="4320"/>
          <w:tab w:val="clear" w:pos="8640"/>
        </w:tabs>
        <w:rPr>
          <w:bCs/>
          <w:color w:val="333399"/>
        </w:rPr>
      </w:pPr>
      <w:r>
        <w:rPr>
          <w:b/>
          <w:color w:val="333399"/>
        </w:rPr>
        <w:t>Northern Border</w:t>
      </w:r>
    </w:p>
    <w:p>
      <w:pPr>
        <w:pStyle w:val="Header"/>
        <w:numPr>
          <w:ilvl w:val="0"/>
          <w:numId w:val="3"/>
        </w:numPr>
        <w:tabs>
          <w:tab w:val="clear" w:pos="4320"/>
          <w:tab w:val="clear" w:pos="8640"/>
          <w:tab w:val="left" w:pos="1080" w:leader="none"/>
        </w:tabs>
        <w:ind w:hanging="360" w:start="1080" w:end="0"/>
        <w:rPr>
          <w:bCs/>
          <w:color w:val="333399"/>
        </w:rPr>
      </w:pPr>
      <w:r>
        <w:rPr>
          <w:bCs/>
          <w:color w:val="333399"/>
        </w:rPr>
        <w:t>Order accepts supplemental information in compliance with a FERC order issued March 30 in which Northern Border was permitted to implement a firm backhaul service conditioned upon providing additional information. The supplemental information relates to revenue sharing from the firm backhaul service with firm shippers in accordance with the recent settlement.  RP01-267</w:t>
      </w:r>
    </w:p>
    <w:p>
      <w:pPr>
        <w:pStyle w:val="Header"/>
        <w:numPr>
          <w:ilvl w:val="0"/>
          <w:numId w:val="1"/>
        </w:numPr>
        <w:tabs>
          <w:tab w:val="clear" w:pos="4320"/>
          <w:tab w:val="clear" w:pos="8640"/>
        </w:tabs>
        <w:rPr>
          <w:bCs/>
          <w:color w:val="333399"/>
        </w:rPr>
      </w:pPr>
      <w:r>
        <w:rPr>
          <w:b/>
          <w:color w:val="333399"/>
        </w:rPr>
        <w:t>Transwestern</w:t>
      </w:r>
    </w:p>
    <w:p>
      <w:pPr>
        <w:pStyle w:val="Header"/>
        <w:numPr>
          <w:ilvl w:val="0"/>
          <w:numId w:val="6"/>
        </w:numPr>
        <w:tabs>
          <w:tab w:val="clear" w:pos="4320"/>
          <w:tab w:val="clear" w:pos="8640"/>
          <w:tab w:val="left" w:pos="1080" w:leader="none"/>
        </w:tabs>
        <w:ind w:hanging="360" w:start="1080" w:end="0"/>
        <w:rPr>
          <w:bCs/>
          <w:color w:val="333399"/>
        </w:rPr>
      </w:pPr>
      <w:r>
        <w:rPr>
          <w:bCs/>
          <w:color w:val="333399"/>
        </w:rPr>
        <w:t>Noticed amended negotiated rate transaction with USGT, RP97-288</w:t>
      </w:r>
    </w:p>
    <w:p>
      <w:pPr>
        <w:pStyle w:val="Header"/>
        <w:tabs>
          <w:tab w:val="clear" w:pos="4320"/>
          <w:tab w:val="clear" w:pos="8640"/>
        </w:tabs>
        <w:rPr>
          <w:bCs/>
          <w:shadow/>
          <w:color w:val="333399"/>
        </w:rPr>
      </w:pPr>
      <w:r>
        <w:rPr>
          <w:bCs/>
          <w:shadow/>
          <w:color w:val="333399"/>
        </w:rPr>
      </w:r>
    </w:p>
    <w:p>
      <w:pPr>
        <w:pStyle w:val="Header"/>
        <w:tabs>
          <w:tab w:val="clear" w:pos="4320"/>
          <w:tab w:val="clear" w:pos="8640"/>
        </w:tabs>
        <w:rPr>
          <w:bCs/>
          <w:shadow/>
          <w:color w:val="333399"/>
        </w:rPr>
      </w:pPr>
      <w:r>
        <w:rPr>
          <w:bCs/>
          <w:shadow/>
          <w:color w:val="333399"/>
        </w:rPr>
      </w:r>
    </w:p>
    <w:p>
      <w:pPr>
        <w:pStyle w:val="Header"/>
        <w:tabs>
          <w:tab w:val="clear" w:pos="4320"/>
          <w:tab w:val="clear" w:pos="8640"/>
        </w:tabs>
        <w:jc w:val="center"/>
        <w:rPr>
          <w:b/>
          <w:shadow/>
          <w:color w:val="333399"/>
        </w:rPr>
      </w:pPr>
      <w:r>
        <w:rPr>
          <w:b/>
          <w:shadow/>
          <w:color w:val="333399"/>
        </w:rPr>
        <w:t>Specific FERC Cases</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El Paso Order Denies Rehearing of Changes to Scheduling Confirmation Process. </w:t>
      </w:r>
      <w:r>
        <w:rPr>
          <w:bCs/>
          <w:color w:val="333399"/>
        </w:rPr>
        <w:t xml:space="preserve">In an order issued November 9, FERC has denied Southern California Gas’ request for rehearing of a FERC order issued August 30, 2001. The order accepted El Paso’s revisions to its scheduling confirmation process providing an option regarding the resolution of shipper imbalances. SoCal Gas argues that FERC will permit El Paso to assess “phantom” imbalances to shippers. Further arguing that this provision is a violation of GISB’s confirmation deadline, SoCal Gas thinks FERC should reject the provision or order El Paso to follow the GISB confirmation deadlines. FERC states that El Paso’s revisions are aimed at resolving imbalances created during the scheduling process and provides shippers with new flexibility to manage those imbalances. El Paso’s tariff language cannot be interpreted to include any unwarranted imbalances contrary to GISB standards. Interestingly, FERC does guide SoCal Gas by suggesting that in raising several questions regarding El Paso’s scheduling and confirmation practices, they might feel free to file a complaint, thereby allowing SoCalGas to fully support its allegations. </w:t>
      </w:r>
      <w:hyperlink r:id="rId5">
        <w:r>
          <w:rPr>
            <w:rStyle w:val="Hyperlink"/>
            <w:bCs/>
          </w:rPr>
          <w:t>RP01-496</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Calypso Resource Agency Meeting Set </w:t>
      </w:r>
      <w:r>
        <w:rPr>
          <w:bCs/>
          <w:color w:val="333399"/>
        </w:rPr>
        <w:t xml:space="preserve">for November 14, 2001 to discuss permitting issues for the proposed Calypso Natural Gas Pipeline Project, CP01-409. </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Kern River Proposes New Kramer Junction Delivery Point </w:t>
      </w:r>
      <w:r>
        <w:rPr>
          <w:bCs/>
          <w:color w:val="333399"/>
        </w:rPr>
        <w:t xml:space="preserve">jointly owned by Kern River and Mojave Pipeline. The facilities will be located in San Bernardino County, CA with a maximum design delivery capacity of 500 MMcf/d. The facilities will act as an alternative to Kern River’s existing Wheeler Ridge Delivery Point into the SoCalGas system where take-away capacity is currently constrained. </w:t>
      </w:r>
      <w:hyperlink r:id="rId6">
        <w:r>
          <w:rPr>
            <w:rStyle w:val="Hyperlink"/>
            <w:bCs/>
          </w:rPr>
          <w:t>CP02-15</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Columbia Gulf Proposes Interruptible Parking and Loan Services. </w:t>
      </w:r>
      <w:r>
        <w:rPr>
          <w:bCs/>
          <w:color w:val="333399"/>
        </w:rPr>
        <w:t>As many pipelines have done, Columbia Gulf proposes to add an interruptible PAL service to provide additional flexibility for shippers. RP02-39</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Texas Eastern Files Application Proposing New Lateral Line Only Service. </w:t>
      </w:r>
      <w:r>
        <w:rPr>
          <w:bCs/>
          <w:color w:val="333399"/>
        </w:rPr>
        <w:t xml:space="preserve">The proposed service will be available to any party requesting firm or interruptible service on a portion of Texas Eastern’s system designated as a Market Lateral. The service will be provided as a “lateral line only” service with no transportation rights, secondary or otherwise, other than on the designated Market Lateral. The service will allow a firm contracting customer to designate in the agreement the MDQ and MHQ to be delivered, not to exceed customer’s MDQ for the Gas Day. A firm customer will be required to pay for any incremental facilities required. Firm customers will have secondary and capacity release rights only on the Market Lateral. The firm hourly rights will be applicable only as to flows between the Primary Receipt Point and Primary Delivery Point on the Market Lateral. </w:t>
      </w:r>
      <w:hyperlink r:id="rId7">
        <w:r>
          <w:rPr>
            <w:rStyle w:val="Hyperlink"/>
            <w:bCs/>
          </w:rPr>
          <w:t>CP02-17</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Western Frontier Pipeline Issued NOI to Prepare Environmental Impact Statement for Proposed Western Frontier Pipeline Project. </w:t>
      </w:r>
      <w:r>
        <w:rPr>
          <w:bCs/>
          <w:color w:val="333399"/>
        </w:rPr>
        <w:t xml:space="preserve">FERC staff will prepare an EIS for this project located in Colorado, Kansas and Oklahoma. These facilities will consist of approximately 409 miles of pipeline and 20,000 hp of compression. </w:t>
      </w:r>
      <w:hyperlink r:id="rId8">
        <w:r>
          <w:rPr>
            <w:rStyle w:val="Hyperlink"/>
            <w:bCs/>
          </w:rPr>
          <w:t>CP02-12</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City of Dunlap v. East Tennessee Natural Gas Order on Complaint. </w:t>
      </w:r>
      <w:r>
        <w:rPr>
          <w:bCs/>
          <w:color w:val="333399"/>
        </w:rPr>
        <w:t xml:space="preserve">City of Dunlap (Dunlap) filed a complaint requesting that East Tennessee comply with the terms of its tariff and increase contract entitlements for Dunlap’s existing contract for small customer service. East Tennessee states that FERC policy established in Order No. 636 that small customers cannot increase their contractual entitlements to a one-part rate, small customer transportation service above the level of their contractual entitlement to the similar one-part rate, small customer sales service they were receiving before Order No. 636. Secondly, East Tennessee states that even if policy permitted small customers to increase their service, East Tennessee’s tariff approved in its restructuring proceeding does not permit such increases. FERC disagrees and grants Dunlap’s request and requires East Tennessee to increase the entitlement and further directs East Tennessee to pay Dunlap refunds with interest, for overpayment of charges as a result of its being required to take certain rate schedule rather than the small customer service. FERC said that Order No. 636 did not establish any policy prohibiting small customers from increasing their pre-Order 636 entitlements to small customer service. East Tennessee’s tariff is ambiguous on this matter but FERC does not suggest that East Tennessee clarify its tariff. </w:t>
      </w:r>
      <w:hyperlink r:id="rId9">
        <w:r>
          <w:rPr>
            <w:rStyle w:val="Hyperlink"/>
            <w:bCs/>
          </w:rPr>
          <w:t>RP01-420</w:t>
        </w:r>
      </w:hyperlink>
    </w:p>
    <w:p>
      <w:pPr>
        <w:pStyle w:val="Header"/>
        <w:tabs>
          <w:tab w:val="clear" w:pos="4320"/>
          <w:tab w:val="clear" w:pos="8640"/>
        </w:tabs>
        <w:rPr>
          <w:bCs/>
          <w:color w:val="333399"/>
        </w:rPr>
      </w:pPr>
      <w:r>
        <w:rPr>
          <w:bCs/>
          <w:color w:val="333399"/>
        </w:rPr>
      </w:r>
    </w:p>
    <w:p>
      <w:pPr>
        <w:pStyle w:val="Header"/>
        <w:tabs>
          <w:tab w:val="clear" w:pos="4320"/>
          <w:tab w:val="clear" w:pos="8640"/>
        </w:tabs>
        <w:jc w:val="center"/>
        <w:rPr>
          <w:b/>
          <w:shadow/>
          <w:color w:val="333399"/>
        </w:rPr>
      </w:pPr>
      <w:r>
        <w:rPr>
          <w:b/>
          <w:shadow/>
          <w:color w:val="333399"/>
        </w:rPr>
        <w:t>Electric Matters</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FERC Issues Order To Ensure Power in California. </w:t>
      </w:r>
      <w:r>
        <w:rPr>
          <w:bCs/>
          <w:color w:val="333399"/>
        </w:rPr>
        <w:t>FERC issued an order to ensure timely payment of the California ISO energy suppliers. FERC directs the ISO to enforce its billing and settlement procedures and must invoice the California Dept. of Water Resources for all ISO transactions entered into on behalf of SoCal Edison and Pacific Gas &amp; Electric within 15 days of this order. ER01-3013</w:t>
      </w:r>
    </w:p>
    <w:p>
      <w:pPr>
        <w:pStyle w:val="Header"/>
        <w:tabs>
          <w:tab w:val="clear" w:pos="4320"/>
          <w:tab w:val="clear" w:pos="8640"/>
        </w:tabs>
        <w:rPr>
          <w:bCs/>
          <w:color w:val="333399"/>
        </w:rPr>
      </w:pPr>
      <w:r>
        <w:rPr>
          <w:bCs/>
          <w:color w:val="333399"/>
        </w:rPr>
      </w:r>
    </w:p>
    <w:sectPr>
      <w:footerReference w:type="default" r:id="rId10"/>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Nov-09.doc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1">
    <w:name w:val="WW8Num2z1"/>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biz.yahoo.com/bw/011109/92336_1.html" TargetMode="External"/><Relationship Id="rId3" Type="http://schemas.openxmlformats.org/officeDocument/2006/relationships/hyperlink" Target="../../../../../common/LEGAL/JBUTLER/INGAA-Advisory%20Council%20comments.doc" TargetMode="External"/><Relationship Id="rId4" Type="http://schemas.openxmlformats.org/officeDocument/2006/relationships/hyperlink" Target="../../../../../common/LEGAL/JBUTLER/00Ferc/Summary%20RM01-11.DOC" TargetMode="External"/><Relationship Id="rId5" Type="http://schemas.openxmlformats.org/officeDocument/2006/relationships/hyperlink" Target="http://biz.yahoo.com/bw/011109/92336_1.html" TargetMode="External"/><Relationship Id="rId6" Type="http://schemas.openxmlformats.org/officeDocument/2006/relationships/hyperlink" Target="http://cips.ferc.fed.us/Q/CIPS/GAS/CP/CP02-15.000.TXT" TargetMode="External"/><Relationship Id="rId7" Type="http://schemas.openxmlformats.org/officeDocument/2006/relationships/hyperlink" Target="http://biz.yahoo.com/bw/011109/92336_1.html" TargetMode="External"/><Relationship Id="rId8" Type="http://schemas.openxmlformats.org/officeDocument/2006/relationships/hyperlink" Target="http://biz.yahoo.com/bw/011109/92336_1.html" TargetMode="External"/><Relationship Id="rId9" Type="http://schemas.openxmlformats.org/officeDocument/2006/relationships/hyperlink" Target="http://biz.yahoo.com/bw/011109/92336_1.html" TargetMode="Externa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2001-11-09T19:12:00Z</dcterms:created>
  <dc:creator>jbutler</dc:creator>
  <dc:description/>
  <dc:language>en-CA</dc:language>
  <cp:lastModifiedBy>jbutler</cp:lastModifiedBy>
  <cp:lastPrinted>2001-11-09T19:14:00Z</cp:lastPrinted>
  <dcterms:modified xsi:type="dcterms:W3CDTF">2001-11-09T22:46:00Z</dcterms:modified>
  <cp:revision>6</cp:revision>
  <dc:subject/>
  <dc:title>General FERC Matters</dc:title>
</cp:coreProperties>
</file>