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pCenter"/>
        <w:rPr>
          <w:rFonts w:ascii="Times New Roman" w:hAnsi="Times New Roman" w:cs="Times New Roman"/>
          <w:color w:val="000000"/>
        </w:rPr>
      </w:pPr>
      <w:r>
        <w:rPr>
          <w:rFonts w:cs="Times New Roman" w:ascii="Times New Roman" w:hAnsi="Times New Roman"/>
          <w:color w:val="000000"/>
        </w:rPr>
      </w:r>
    </w:p>
    <w:p>
      <w:pPr>
        <w:pStyle w:val="Normal"/>
        <w:rPr>
          <w:rFonts w:ascii="Times New Roman" w:hAnsi="Times New Roman" w:cs="Times New Roman"/>
          <w:b/>
          <w:color w:val="000000"/>
          <w:sz w:val="24"/>
        </w:rPr>
      </w:pPr>
      <w:r>
        <w:rPr>
          <w:rFonts w:cs="Times New Roman"/>
          <w:b/>
          <w:color w:val="000000"/>
          <w:sz w:val="24"/>
        </w:rPr>
      </w:r>
    </w:p>
    <w:p>
      <w:pPr>
        <w:pStyle w:val="CapCenter"/>
        <w:rPr>
          <w:rFonts w:ascii="Times New Roman" w:hAnsi="Times New Roman" w:cs="Times New Roman"/>
          <w:color w:val="000000"/>
        </w:rPr>
      </w:pPr>
      <w:r>
        <w:rPr>
          <w:rFonts w:cs="Times New Roman" w:ascii="Times New Roman" w:hAnsi="Times New Roman"/>
          <w:color w:val="000000"/>
        </w:rPr>
        <w:t>BEFORE THE PUBLIC UTILITIES COMMISSION</w:t>
        <w:br/>
        <w:t>OF THE STATE OF CALIFORNIA</w:t>
      </w:r>
    </w:p>
    <w:p>
      <w:pPr>
        <w:pStyle w:val="Normal"/>
        <w:rPr>
          <w:rFonts w:ascii="Times New Roman" w:hAnsi="Times New Roman" w:cs="Times New Roman"/>
          <w:color w:val="000000"/>
          <w:sz w:val="24"/>
        </w:rPr>
      </w:pPr>
      <w:r>
        <w:rPr>
          <w:rFonts w:cs="Times New Roman"/>
          <w:color w:val="000000"/>
          <w:sz w:val="24"/>
        </w:rPr>
      </w:r>
    </w:p>
    <w:p>
      <w:pPr>
        <w:pStyle w:val="Footer"/>
        <w:tabs>
          <w:tab w:val="clear" w:pos="4320"/>
          <w:tab w:val="clear" w:pos="8640"/>
        </w:tabs>
        <w:rPr>
          <w:rFonts w:ascii="Times New Roman" w:hAnsi="Times New Roman" w:cs="Times New Roman"/>
          <w:color w:val="000000"/>
          <w:sz w:val="24"/>
        </w:rPr>
      </w:pPr>
      <w:r>
        <w:rPr>
          <w:rFonts w:cs="Times New Roman" w:ascii="Times New Roman" w:hAnsi="Times New Roman"/>
          <w:color w:val="000000"/>
          <w:sz w:val="24"/>
        </w:rPr>
      </w:r>
    </w:p>
    <w:p>
      <w:pPr>
        <w:pStyle w:val="Normal"/>
        <w:rPr>
          <w:rFonts w:ascii="Times New Roman" w:hAnsi="Times New Roman" w:cs="Times New Roman"/>
          <w:color w:val="000000"/>
          <w:sz w:val="24"/>
        </w:rPr>
      </w:pPr>
      <w:r>
        <w:rPr>
          <w:rFonts w:cs="Times New Roman"/>
          <w:color w:val="000000"/>
          <w:sz w:val="24"/>
        </w:rPr>
      </w:r>
    </w:p>
    <w:p>
      <w:pPr>
        <w:pStyle w:val="Normal"/>
        <w:rPr>
          <w:color w:val="000000"/>
          <w:sz w:val="24"/>
        </w:rPr>
      </w:pPr>
      <w:r>
        <w:rPr>
          <w:color w:val="000000"/>
          <w:sz w:val="24"/>
        </w:rPr>
        <w:t>Application of San Diego Gas &amp;</w:t>
        <w:tab/>
        <w:tab/>
        <w:t>)</w:t>
      </w:r>
    </w:p>
    <w:p>
      <w:pPr>
        <w:pStyle w:val="Normal"/>
        <w:rPr>
          <w:color w:val="000000"/>
          <w:sz w:val="24"/>
        </w:rPr>
      </w:pPr>
      <w:r>
        <w:rPr>
          <w:color w:val="000000"/>
          <w:sz w:val="24"/>
        </w:rPr>
        <w:t>Electric Company (U 902-E) in</w:t>
        <w:tab/>
        <w:tab/>
        <w:t>)</w:t>
      </w:r>
    </w:p>
    <w:p>
      <w:pPr>
        <w:pStyle w:val="Normal"/>
        <w:rPr>
          <w:color w:val="000000"/>
          <w:sz w:val="24"/>
        </w:rPr>
      </w:pPr>
      <w:r>
        <w:rPr>
          <w:color w:val="000000"/>
          <w:sz w:val="24"/>
        </w:rPr>
        <w:t>The Third Annual Transition</w:t>
        <w:tab/>
        <w:tab/>
        <w:tab/>
        <w:t>)</w:t>
      </w:r>
    </w:p>
    <w:p>
      <w:pPr>
        <w:pStyle w:val="Normal"/>
        <w:rPr>
          <w:color w:val="000000"/>
          <w:sz w:val="24"/>
        </w:rPr>
      </w:pPr>
      <w:r>
        <w:rPr>
          <w:color w:val="000000"/>
          <w:sz w:val="24"/>
        </w:rPr>
        <w:t>Cost Proceeding Addressing (1) the</w:t>
        <w:tab/>
        <w:tab/>
        <w:t>)</w:t>
      </w:r>
    </w:p>
    <w:p>
      <w:pPr>
        <w:pStyle w:val="Normal"/>
        <w:rPr>
          <w:color w:val="000000"/>
          <w:sz w:val="24"/>
        </w:rPr>
      </w:pPr>
      <w:r>
        <w:rPr>
          <w:color w:val="000000"/>
          <w:sz w:val="24"/>
        </w:rPr>
        <w:t>Transition Cost Balancing Account</w:t>
        <w:tab/>
        <w:tab/>
        <w:t>)</w:t>
        <w:tab/>
        <w:t>Application 00-10-008</w:t>
      </w:r>
    </w:p>
    <w:p>
      <w:pPr>
        <w:pStyle w:val="Normal"/>
        <w:rPr>
          <w:color w:val="000000"/>
          <w:sz w:val="24"/>
        </w:rPr>
      </w:pPr>
      <w:r>
        <w:rPr>
          <w:color w:val="000000"/>
          <w:sz w:val="24"/>
        </w:rPr>
        <w:t>(TCBA), and (2) the Reasonableness</w:t>
        <w:tab/>
        <w:tab/>
        <w:t>)</w:t>
      </w:r>
    </w:p>
    <w:p>
      <w:pPr>
        <w:pStyle w:val="Normal"/>
        <w:rPr>
          <w:color w:val="000000"/>
          <w:sz w:val="24"/>
        </w:rPr>
      </w:pPr>
      <w:r>
        <w:rPr>
          <w:color w:val="000000"/>
          <w:sz w:val="24"/>
        </w:rPr>
        <w:t xml:space="preserve">of San Diego Gas &amp; Electric </w:t>
        <w:tab/>
        <w:tab/>
        <w:tab/>
        <w:t>)</w:t>
      </w:r>
    </w:p>
    <w:p>
      <w:pPr>
        <w:pStyle w:val="Normal"/>
        <w:rPr>
          <w:color w:val="000000"/>
          <w:sz w:val="24"/>
        </w:rPr>
      </w:pPr>
      <w:r>
        <w:rPr>
          <w:color w:val="000000"/>
          <w:sz w:val="24"/>
        </w:rPr>
        <w:t xml:space="preserve">Company’s Energy Procurement </w:t>
        <w:tab/>
        <w:tab/>
        <w:t>)</w:t>
      </w:r>
    </w:p>
    <w:p>
      <w:pPr>
        <w:pStyle w:val="Normal"/>
        <w:rPr>
          <w:color w:val="000000"/>
          <w:sz w:val="24"/>
        </w:rPr>
      </w:pPr>
      <w:r>
        <w:rPr>
          <w:color w:val="000000"/>
          <w:sz w:val="24"/>
        </w:rPr>
        <w:t>Practices.</w:t>
        <w:tab/>
        <w:tab/>
        <w:tab/>
        <w:tab/>
        <w:tab/>
        <w:t>)</w:t>
      </w:r>
    </w:p>
    <w:p>
      <w:pPr>
        <w:pStyle w:val="Normal"/>
        <w:rPr>
          <w:color w:val="000000"/>
          <w:sz w:val="24"/>
        </w:rPr>
      </w:pPr>
      <w:r>
        <w:rPr>
          <w:color w:val="000000"/>
          <w:sz w:val="24"/>
        </w:rPr>
        <w:t>____________________________________)</w:t>
      </w:r>
    </w:p>
    <w:p>
      <w:pPr>
        <w:pStyle w:val="Normal"/>
        <w:rPr>
          <w:color w:val="000000"/>
          <w:sz w:val="24"/>
        </w:rPr>
      </w:pPr>
      <w:r>
        <w:rPr>
          <w:color w:val="000000"/>
          <w:sz w:val="24"/>
        </w:rPr>
      </w:r>
    </w:p>
    <w:p>
      <w:pPr>
        <w:pStyle w:val="Normal"/>
        <w:rPr>
          <w:color w:val="000000"/>
          <w:sz w:val="24"/>
        </w:rPr>
      </w:pPr>
      <w:r>
        <w:rPr>
          <w:color w:val="000000"/>
          <w:sz w:val="24"/>
        </w:rPr>
      </w:r>
    </w:p>
    <w:p>
      <w:pPr>
        <w:pStyle w:val="Normal"/>
        <w:rPr>
          <w:color w:val="000000"/>
          <w:sz w:val="24"/>
        </w:rPr>
      </w:pPr>
      <w:r>
        <w:rPr>
          <w:color w:val="000000"/>
          <w:sz w:val="24"/>
        </w:rPr>
      </w:r>
    </w:p>
    <w:p>
      <w:pPr>
        <w:pStyle w:val="Normal"/>
        <w:jc w:val="center"/>
        <w:rPr>
          <w:b/>
          <w:color w:val="000000"/>
          <w:sz w:val="24"/>
        </w:rPr>
      </w:pPr>
      <w:r>
        <w:rPr>
          <w:b/>
          <w:color w:val="000000"/>
          <w:sz w:val="24"/>
        </w:rPr>
        <w:t>NOTICE OF SETTLEMENT CONFERENCE</w:t>
      </w:r>
    </w:p>
    <w:p>
      <w:pPr>
        <w:pStyle w:val="Normal"/>
        <w:rPr>
          <w:b/>
          <w:color w:val="000000"/>
          <w:sz w:val="24"/>
        </w:rPr>
      </w:pPr>
      <w:r>
        <w:rPr>
          <w:b/>
          <w:color w:val="000000"/>
          <w:sz w:val="24"/>
        </w:rPr>
      </w:r>
    </w:p>
    <w:p>
      <w:pPr>
        <w:pStyle w:val="Normal"/>
        <w:rPr/>
      </w:pPr>
      <w:r>
        <w:rPr/>
      </w:r>
    </w:p>
    <w:p>
      <w:pPr>
        <w:pStyle w:val="Normal"/>
        <w:rPr/>
      </w:pPr>
      <w:r>
        <w:rPr/>
      </w:r>
    </w:p>
    <w:p>
      <w:pPr>
        <w:pStyle w:val="Normal"/>
        <w:rPr>
          <w:sz w:val="24"/>
        </w:rPr>
      </w:pPr>
      <w:r>
        <w:rPr>
          <w:sz w:val="24"/>
        </w:rPr>
        <w:t>To all persons on the service list:</w:t>
      </w:r>
    </w:p>
    <w:p>
      <w:pPr>
        <w:pStyle w:val="Normal"/>
        <w:rPr>
          <w:sz w:val="24"/>
        </w:rPr>
      </w:pPr>
      <w:r>
        <w:rPr>
          <w:sz w:val="24"/>
        </w:rPr>
      </w:r>
    </w:p>
    <w:p>
      <w:pPr>
        <w:pStyle w:val="Normal"/>
        <w:rPr>
          <w:sz w:val="24"/>
        </w:rPr>
      </w:pPr>
      <w:r>
        <w:rPr>
          <w:sz w:val="24"/>
        </w:rPr>
      </w:r>
    </w:p>
    <w:p>
      <w:pPr>
        <w:pStyle w:val="Normal"/>
        <w:spacing w:lineRule="auto" w:line="360"/>
        <w:rPr>
          <w:sz w:val="24"/>
        </w:rPr>
      </w:pPr>
      <w:r>
        <w:rPr>
          <w:sz w:val="24"/>
        </w:rPr>
        <w:t>Pursuant to Rule 51.1 of the California Public Utilities Commission’s (“Commission”) Rules of Practice and Procedure, San Diego Gas &amp; Electric Company (“SDG&amp;E”) and the Commission’s Office of Ratepayer Advocates (“ORA”) hereby jointly give notice of a settlement conference in the above-referenced proceeding to be held on Thursday, July 26, 2001 at 10 a.m. in Hearing Room “C” at the California Public Utilities Commission, located at 505 Van Ness Avenue, San Francisco, California, 94102.</w:t>
      </w:r>
    </w:p>
    <w:p>
      <w:pPr>
        <w:pStyle w:val="Normal"/>
        <w:spacing w:lineRule="auto" w:line="360"/>
        <w:rPr>
          <w:sz w:val="24"/>
        </w:rPr>
      </w:pPr>
      <w:r>
        <w:rPr>
          <w:sz w:val="24"/>
        </w:rPr>
      </w:r>
    </w:p>
    <w:p>
      <w:pPr>
        <w:pStyle w:val="Normal"/>
        <w:spacing w:lineRule="auto" w:line="360"/>
        <w:rPr>
          <w:sz w:val="24"/>
        </w:rPr>
      </w:pPr>
      <w:r>
        <w:rPr>
          <w:sz w:val="24"/>
        </w:rPr>
        <w:t>SDG&amp;E and ORA plan to discuss the potential for settling that portion of the above-referenced application addressing the reasonableness of SDG&amp;E’s electric procurement practices.   The stipulations SDG&amp;E and ORA will be discussing for potential settlement are set forth in a Memorandum of Understanding (“MOU”) executed by them on June 15, 2001.  That MOU is attached to this notice.</w:t>
      </w:r>
    </w:p>
    <w:p>
      <w:pPr>
        <w:pStyle w:val="Normal"/>
        <w:spacing w:lineRule="auto" w:line="360"/>
        <w:rPr>
          <w:sz w:val="24"/>
        </w:rPr>
      </w:pPr>
      <w:r>
        <w:rPr>
          <w:sz w:val="24"/>
        </w:rPr>
        <w:t xml:space="preserve"> </w:t>
      </w:r>
    </w:p>
    <w:p>
      <w:pPr>
        <w:pStyle w:val="Normal"/>
        <w:spacing w:lineRule="auto" w:line="360"/>
        <w:rPr>
          <w:sz w:val="24"/>
        </w:rPr>
      </w:pPr>
      <w:r>
        <w:rPr>
          <w:sz w:val="24"/>
        </w:rPr>
        <w:t>Attendance and participation at the settlement conference will be limited to the parties to this proceeding and their representatives as described in Rule 51.1(c).  Those parties so participating will be bound by the provisions of Rule 51.9 related to confidentiality and non-admissibility of offers of settlement and statements in settlement conferences.  The settlement conference is not open to the public.</w:t>
      </w:r>
    </w:p>
    <w:p>
      <w:pPr>
        <w:pStyle w:val="Normal"/>
        <w:spacing w:lineRule="auto" w:line="360"/>
        <w:rPr>
          <w:sz w:val="24"/>
        </w:rPr>
      </w:pPr>
      <w:r>
        <w:rPr>
          <w:sz w:val="24"/>
        </w:rPr>
      </w:r>
    </w:p>
    <w:p>
      <w:pPr>
        <w:pStyle w:val="BodyText"/>
        <w:spacing w:lineRule="auto" w:line="360"/>
        <w:rPr/>
      </w:pPr>
      <w:r>
        <w:rPr/>
        <w:t>If you have questions, you can contact the persons listed below for SDG&amp;E and ORA.  On the day of the settlement conference, SDG&amp;E representatives may be contacted at (415) 202-9986.</w:t>
      </w:r>
    </w:p>
    <w:p>
      <w:pPr>
        <w:pStyle w:val="Normal"/>
        <w:spacing w:lineRule="auto" w:line="360"/>
        <w:rPr>
          <w:sz w:val="24"/>
        </w:rPr>
      </w:pPr>
      <w:r>
        <w:rPr>
          <w:sz w:val="24"/>
        </w:rPr>
      </w:r>
    </w:p>
    <w:p>
      <w:pPr>
        <w:pStyle w:val="Normal"/>
        <w:spacing w:lineRule="auto" w:line="360"/>
        <w:rPr>
          <w:sz w:val="24"/>
        </w:rPr>
      </w:pPr>
      <w:r>
        <w:rPr>
          <w:sz w:val="24"/>
        </w:rPr>
        <w:t>For SDG&amp;E:</w:t>
        <w:tab/>
        <w:tab/>
        <w:tab/>
        <w:tab/>
        <w:tab/>
        <w:t>For ORA:</w:t>
      </w:r>
    </w:p>
    <w:p>
      <w:pPr>
        <w:pStyle w:val="Normal"/>
        <w:rPr>
          <w:sz w:val="24"/>
        </w:rPr>
      </w:pPr>
      <w:r>
        <w:rPr>
          <w:sz w:val="24"/>
        </w:rPr>
        <w:t>Thomas R. Brill</w:t>
        <w:tab/>
        <w:tab/>
        <w:tab/>
        <w:tab/>
        <w:t>Darwin Farrar</w:t>
      </w:r>
    </w:p>
    <w:p>
      <w:pPr>
        <w:pStyle w:val="Normal"/>
        <w:rPr>
          <w:sz w:val="24"/>
        </w:rPr>
      </w:pPr>
      <w:r>
        <w:rPr>
          <w:sz w:val="24"/>
        </w:rPr>
        <w:t>Director, Regulatory Policy</w:t>
        <w:tab/>
        <w:tab/>
        <w:tab/>
        <w:t>505 Van Ness Avenue</w:t>
      </w:r>
    </w:p>
    <w:p>
      <w:pPr>
        <w:pStyle w:val="Normal"/>
        <w:rPr>
          <w:sz w:val="24"/>
        </w:rPr>
      </w:pPr>
      <w:r>
        <w:rPr>
          <w:sz w:val="24"/>
        </w:rPr>
        <w:t>101 Ash Street, HQ13</w:t>
        <w:tab/>
        <w:tab/>
        <w:tab/>
        <w:tab/>
        <w:t>San Francisco, CA 94102</w:t>
      </w:r>
    </w:p>
    <w:p>
      <w:pPr>
        <w:pStyle w:val="Normal"/>
        <w:rPr>
          <w:sz w:val="24"/>
        </w:rPr>
      </w:pPr>
      <w:r>
        <w:rPr>
          <w:sz w:val="24"/>
        </w:rPr>
        <w:t>San Diego, California  92101</w:t>
        <w:tab/>
        <w:tab/>
        <w:tab/>
        <w:t>Tel:  (415) 703-1599</w:t>
      </w:r>
    </w:p>
    <w:p>
      <w:pPr>
        <w:pStyle w:val="Normal"/>
        <w:rPr>
          <w:sz w:val="24"/>
        </w:rPr>
      </w:pPr>
      <w:r>
        <w:rPr>
          <w:sz w:val="24"/>
        </w:rPr>
        <w:t>Tel:  (619) 696-4265</w:t>
        <w:tab/>
        <w:tab/>
        <w:tab/>
        <w:tab/>
        <w:t>E-mail: edf@cpuc.ca.gov</w:t>
      </w:r>
    </w:p>
    <w:p>
      <w:pPr>
        <w:pStyle w:val="Normal"/>
        <w:rPr>
          <w:sz w:val="24"/>
        </w:rPr>
      </w:pPr>
      <w:r>
        <w:rPr>
          <w:sz w:val="24"/>
        </w:rPr>
        <w:t>E-mail: tbrill@sempra.com</w:t>
      </w:r>
    </w:p>
    <w:p>
      <w:pPr>
        <w:pStyle w:val="Normal"/>
        <w:rPr>
          <w:sz w:val="24"/>
        </w:rPr>
      </w:pPr>
      <w:r>
        <w:rPr>
          <w:sz w:val="24"/>
        </w:rPr>
      </w:r>
    </w:p>
    <w:p>
      <w:pPr>
        <w:pStyle w:val="Normal"/>
        <w:rPr>
          <w:sz w:val="24"/>
        </w:rPr>
      </w:pPr>
      <w:r>
        <w:rPr>
          <w:sz w:val="24"/>
        </w:rPr>
      </w:r>
    </w:p>
    <w:p>
      <w:pPr>
        <w:pStyle w:val="Heading1"/>
        <w:ind w:hanging="0" w:start="0"/>
        <w:rPr/>
      </w:pPr>
      <w:r>
        <w:rPr/>
        <w:t>July 16, 2001</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Courier New" w:hAnsi="Courier New" w:cs="Courier New"/>
      <w:sz w:val="24"/>
      <w:lang w:eastAsia="en-US"/>
    </w:rPr>
  </w:style>
  <w:style w:type="paragraph" w:styleId="CapCenter">
    <w:name w:val="CapCenter"/>
    <w:basedOn w:val="Normal"/>
    <w:next w:val="Normal"/>
    <w:qFormat/>
    <w:pPr>
      <w:spacing w:lineRule="atLeast" w:line="360"/>
      <w:jc w:val="center"/>
    </w:pPr>
    <w:rPr>
      <w:rFonts w:ascii="Courier New" w:hAnsi="Courier New" w:cs="Courier New"/>
      <w:b/>
      <w:caps/>
      <w:sz w:val="24"/>
      <w:lang w:eastAsia="en-US"/>
    </w:rPr>
  </w:style>
  <w:style w:type="paragraph" w:styleId="BodyTextIndent3">
    <w:name w:val="Body Text Indent 3"/>
    <w:basedOn w:val="Normal"/>
    <w:qFormat/>
    <w:pPr>
      <w:ind w:firstLine="720" w:start="0" w:end="0"/>
    </w:pPr>
    <w:rPr>
      <w:b/>
      <w:color w:val="000000"/>
      <w:sz w:val="24"/>
      <w:lang w:eastAsia="en-US"/>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2001-07-06T18:37:00Z</dcterms:created>
  <dc:creator/>
  <dc:description/>
  <dc:language>en-CA</dc:language>
  <cp:lastModifiedBy>Sempra</cp:lastModifiedBy>
  <cp:lastPrinted>2001-07-16T15:27:00Z</cp:lastPrinted>
  <dcterms:modified xsi:type="dcterms:W3CDTF">2001-07-16T21:59:00Z</dcterms:modified>
  <cp:revision>8</cp:revision>
  <dc:subject/>
  <dc:title/>
</cp:coreProperties>
</file>