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u w:val="single"/>
        </w:rPr>
      </w:pPr>
      <w:r>
        <w:rPr>
          <w:u w:val="single"/>
        </w:rPr>
      </w:r>
    </w:p>
    <w:p>
      <w:pPr>
        <w:pStyle w:val="Normal"/>
        <w:jc w:val="end"/>
        <w:rPr>
          <w:u w:val="single"/>
        </w:rPr>
      </w:pPr>
      <w:r>
        <w:rPr>
          <w:u w:val="single"/>
        </w:rPr>
      </w:r>
    </w:p>
    <w:p>
      <w:pPr>
        <w:pStyle w:val="Normal"/>
        <w:jc w:val="end"/>
        <w:rPr>
          <w:u w:val="single"/>
          <w:lang w:val="en-CA"/>
        </w:rPr>
      </w:pPr>
      <w:r>
        <w:rPr>
          <w:u w:val="single"/>
          <w:lang w:val="en-CA"/>
        </w:rPr>
        <w:drawing>
          <wp:anchor behindDoc="0" distT="0" distB="0" distL="114935" distR="114935" simplePos="0" locked="0" layoutInCell="1" allowOverlap="1" relativeHeight="3">
            <wp:simplePos x="0" y="0"/>
            <wp:positionH relativeFrom="column">
              <wp:posOffset>3200400</wp:posOffset>
            </wp:positionH>
            <wp:positionV relativeFrom="paragraph">
              <wp:posOffset>-731520</wp:posOffset>
            </wp:positionV>
            <wp:extent cx="2529840" cy="7842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22" r="-6" b="-22"/>
                    <a:stretch>
                      <a:fillRect/>
                    </a:stretch>
                  </pic:blipFill>
                  <pic:spPr bwMode="auto">
                    <a:xfrm>
                      <a:off x="0" y="0"/>
                      <a:ext cx="2529840" cy="784225"/>
                    </a:xfrm>
                    <a:prstGeom prst="rect">
                      <a:avLst/>
                    </a:prstGeom>
                    <a:noFill/>
                  </pic:spPr>
                </pic:pic>
              </a:graphicData>
            </a:graphic>
          </wp:anchor>
        </w:drawing>
      </w:r>
    </w:p>
    <w:p>
      <w:pPr>
        <w:pStyle w:val="Normal"/>
        <w:jc w:val="end"/>
        <w:rPr>
          <w:u w:val="single"/>
          <w:lang w:val="en-CA"/>
        </w:rPr>
      </w:pPr>
      <w:r>
        <w:rPr>
          <w:u w:val="single"/>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68580</wp:posOffset>
                </wp:positionV>
                <wp:extent cx="5852160" cy="0"/>
                <wp:effectExtent l="0" t="5080" r="0" b="5080"/>
                <wp:wrapNone/>
                <wp:docPr id="2" name=""/>
                <a:graphic xmlns:a="http://schemas.openxmlformats.org/drawingml/2006/main">
                  <a:graphicData uri="http://schemas.microsoft.com/office/word/2010/wordprocessingShape">
                    <wps:wsp>
                      <wps:cNvSpPr/>
                      <wps:spPr>
                        <a:xfrm>
                          <a:off x="0" y="0"/>
                          <a:ext cx="5852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4pt" to="460.75pt,5.4pt" stroked="t" o:allowincell="f" style="position:absolute">
                <v:stroke color="black" weight="9360" joinstyle="miter" endcap="flat"/>
                <v:fill o:detectmouseclick="t" on="false"/>
                <w10:wrap type="none"/>
              </v:line>
            </w:pict>
          </mc:Fallback>
        </mc:AlternateContent>
      </w:r>
    </w:p>
    <w:p>
      <w:pPr>
        <w:pStyle w:val="Heading1"/>
        <w:ind w:hanging="0" w:start="0"/>
        <w:rPr>
          <w:sz w:val="20"/>
        </w:rPr>
      </w:pPr>
      <w:r>
        <w:rPr>
          <w:sz w:val="20"/>
        </w:rPr>
        <w:t>William Cronin</w:t>
        <w:tab/>
        <w:tab/>
        <w:tab/>
        <w:tab/>
        <w:tab/>
        <w:tab/>
        <w:tab/>
        <w:tab/>
        <w:t xml:space="preserve">The New Power Company </w:t>
      </w:r>
    </w:p>
    <w:p>
      <w:pPr>
        <w:pStyle w:val="Normal"/>
        <w:rPr>
          <w:b/>
          <w:sz w:val="18"/>
        </w:rPr>
      </w:pPr>
      <w:r>
        <w:rPr>
          <w:b/>
          <w:sz w:val="18"/>
        </w:rPr>
        <w:t>Managing Director, Risk Strategy and Execution</w:t>
        <w:tab/>
        <w:tab/>
        <w:tab/>
        <w:tab/>
        <w:t>One Manhattanville Road</w:t>
      </w:r>
    </w:p>
    <w:p>
      <w:pPr>
        <w:pStyle w:val="Normal"/>
        <w:rPr>
          <w:b/>
          <w:sz w:val="18"/>
        </w:rPr>
      </w:pPr>
      <w:r>
        <w:rPr>
          <w:b/>
          <w:sz w:val="18"/>
        </w:rPr>
        <w:tab/>
        <w:tab/>
        <w:tab/>
        <w:tab/>
        <w:tab/>
        <w:tab/>
        <w:tab/>
        <w:tab/>
        <w:tab/>
        <w:t>Purchase, NY  10577-2100</w:t>
      </w:r>
    </w:p>
    <w:p>
      <w:pPr>
        <w:pStyle w:val="Normal"/>
        <w:rPr>
          <w:b/>
          <w:sz w:val="18"/>
        </w:rPr>
      </w:pPr>
      <w:r>
        <w:rPr>
          <w:b/>
          <w:sz w:val="18"/>
        </w:rPr>
        <w:tab/>
        <w:tab/>
        <w:tab/>
        <w:tab/>
        <w:tab/>
        <w:tab/>
        <w:tab/>
        <w:tab/>
        <w:tab/>
        <w:t>914-697-5140</w:t>
      </w:r>
    </w:p>
    <w:p>
      <w:pPr>
        <w:pStyle w:val="Heading2"/>
        <w:rPr/>
      </w:pPr>
      <w:r>
        <w:rPr/>
        <w:t>Fax: 914-697-2462</w:t>
      </w:r>
    </w:p>
    <w:p>
      <w:pPr>
        <w:pStyle w:val="Normal"/>
        <w:rPr>
          <w:b/>
          <w:sz w:val="18"/>
          <w:u w:val="single"/>
        </w:rPr>
      </w:pPr>
      <w:r>
        <w:rPr>
          <w:b/>
          <w:sz w:val="18"/>
        </w:rPr>
        <w:tab/>
        <w:tab/>
        <w:tab/>
        <w:tab/>
        <w:tab/>
        <w:tab/>
        <w:tab/>
        <w:tab/>
        <w:tab/>
        <w:t>William.Cronin@newpower.com</w:t>
      </w:r>
    </w:p>
    <w:p>
      <w:pPr>
        <w:pStyle w:val="Normal"/>
        <w:spacing w:lineRule="atLeast" w:line="280"/>
        <w:rPr>
          <w:b/>
          <w:sz w:val="18"/>
          <w:u w:val="single"/>
        </w:rPr>
      </w:pPr>
      <w:r>
        <w:rPr>
          <w:b/>
          <w:sz w:val="18"/>
          <w:u w:val="single"/>
        </w:rPr>
      </w:r>
    </w:p>
    <w:p>
      <w:pPr>
        <w:pStyle w:val="Normal"/>
        <w:spacing w:lineRule="atLeast" w:line="280"/>
        <w:rPr/>
      </w:pPr>
      <w:r>
        <w:rPr/>
      </w:r>
    </w:p>
    <w:p>
      <w:pPr>
        <w:pStyle w:val="Subtitle"/>
        <w:rPr>
          <w:b/>
        </w:rPr>
      </w:pPr>
      <w:r>
        <w:rPr>
          <w:b/>
        </w:rPr>
        <w:t>NOTICE OF FINAL SETTLEMENT AMOUNT</w:t>
      </w:r>
    </w:p>
    <w:p>
      <w:pPr>
        <w:pStyle w:val="Normal"/>
        <w:suppressAutoHyphens w:val="true"/>
        <w:ind w:firstLine="720" w:start="2880" w:end="0"/>
        <w:jc w:val="both"/>
        <w:rPr>
          <w:sz w:val="24"/>
        </w:rPr>
      </w:pPr>
      <w:r>
        <w:rPr>
          <w:sz w:val="24"/>
        </w:rPr>
        <w:t>January 2, 2002</w:t>
      </w:r>
    </w:p>
    <w:p>
      <w:pPr>
        <w:pStyle w:val="Heading1"/>
        <w:suppressAutoHyphens w:val="true"/>
        <w:ind w:hanging="0" w:start="0"/>
        <w:rPr>
          <w:sz w:val="24"/>
          <w:u w:val="single"/>
        </w:rPr>
      </w:pPr>
      <w:r>
        <w:rPr>
          <w:sz w:val="24"/>
          <w:u w:val="single"/>
        </w:rPr>
      </w:r>
    </w:p>
    <w:p>
      <w:pPr>
        <w:pStyle w:val="Heading4"/>
        <w:ind w:hanging="0" w:start="0"/>
        <w:rPr/>
      </w:pPr>
      <w:r>
        <w:rPr>
          <w:rPrChange w:id="0" w:author="Unknown Author" w:date="0-00-00T00:00:00Z"/>
        </w:rPr>
        <w:t>Via Facsimile</w:t>
      </w:r>
    </w:p>
    <w:p>
      <w:pPr>
        <w:pStyle w:val="Normal"/>
        <w:rPr>
          <w:sz w:val="24"/>
        </w:rPr>
      </w:pPr>
      <w:r>
        <w:rPr>
          <w:sz w:val="24"/>
        </w:rPr>
      </w:r>
    </w:p>
    <w:p>
      <w:pPr>
        <w:pStyle w:val="BodyText3"/>
        <w:rPr/>
      </w:pPr>
      <w:r>
        <w:rPr/>
        <w:t>Enron Corp.</w:t>
        <w:tab/>
        <w:t>Enron Power Marketing, Inc.</w:t>
        <w:br/>
        <w:t>1400 Smith Street</w:t>
        <w:tab/>
        <w:t>1400 Smith Street</w:t>
        <w:br/>
        <w:t>Houston, Texas 77002</w:t>
        <w:tab/>
        <w:t>Houston, Texas  77002</w:t>
      </w:r>
    </w:p>
    <w:p>
      <w:pPr>
        <w:pStyle w:val="Header"/>
        <w:tabs>
          <w:tab w:val="clear" w:pos="4320"/>
          <w:tab w:val="clear" w:pos="8640"/>
          <w:tab w:val="left" w:pos="5310" w:leader="none"/>
        </w:tabs>
        <w:rPr>
          <w:sz w:val="24"/>
        </w:rPr>
      </w:pPr>
      <w:r>
        <w:rPr>
          <w:sz w:val="24"/>
        </w:rPr>
        <w:t>Telephone:  (713) 853-6161</w:t>
        <w:tab/>
        <w:t>Telephone:  (713) 853-1717</w:t>
      </w:r>
    </w:p>
    <w:p>
      <w:pPr>
        <w:pStyle w:val="Header"/>
        <w:tabs>
          <w:tab w:val="clear" w:pos="4320"/>
          <w:tab w:val="clear" w:pos="8640"/>
          <w:tab w:val="left" w:pos="5310" w:leader="none"/>
        </w:tabs>
        <w:rPr>
          <w:sz w:val="24"/>
        </w:rPr>
      </w:pPr>
      <w:r>
        <w:rPr>
          <w:sz w:val="24"/>
        </w:rPr>
        <w:t>Facsimile:  (713) 646-2534</w:t>
        <w:tab/>
        <w:t>Facsimile: (713) 646-2443</w:t>
      </w:r>
    </w:p>
    <w:p>
      <w:pPr>
        <w:pStyle w:val="Normal"/>
        <w:tabs>
          <w:tab w:val="clear" w:pos="720"/>
          <w:tab w:val="left" w:pos="5310" w:leader="none"/>
        </w:tabs>
        <w:ind w:end="-450"/>
        <w:rPr>
          <w:sz w:val="24"/>
        </w:rPr>
      </w:pPr>
      <w:r>
        <w:rPr>
          <w:sz w:val="24"/>
        </w:rPr>
        <w:t>Attention:  Corporate Secretary</w:t>
        <w:tab/>
        <w:t>Attention:  Power Contract Administration</w:t>
      </w:r>
    </w:p>
    <w:p>
      <w:pPr>
        <w:pStyle w:val="Normal"/>
        <w:tabs>
          <w:tab w:val="clear" w:pos="720"/>
          <w:tab w:val="left" w:pos="5310" w:leader="none"/>
        </w:tabs>
        <w:ind w:start="2160" w:end="-450"/>
        <w:rPr>
          <w:sz w:val="24"/>
        </w:rPr>
      </w:pPr>
      <w:r>
        <w:rPr>
          <w:sz w:val="24"/>
        </w:rPr>
        <w:tab/>
        <w:t>and</w:t>
      </w:r>
    </w:p>
    <w:p>
      <w:pPr>
        <w:pStyle w:val="BodyText2"/>
        <w:tabs>
          <w:tab w:val="clear" w:pos="720"/>
          <w:tab w:val="left" w:pos="5310" w:leader="none"/>
        </w:tabs>
        <w:rPr>
          <w:sz w:val="24"/>
        </w:rPr>
      </w:pPr>
      <w:r>
        <w:rPr>
          <w:sz w:val="24"/>
        </w:rPr>
        <w:t>Enron North America Corp.</w:t>
        <w:tab/>
        <w:t>Telephone: (713) 853-3300</w:t>
        <w:br/>
        <w:t>1400 Smith Street</w:t>
        <w:tab/>
        <w:t>Facsimile: (713) 646-4818</w:t>
        <w:br/>
        <w:t>Houston, Texas 77002</w:t>
        <w:tab/>
        <w:t>Attention:  Assistant General Counsel, Trading Group</w:t>
      </w:r>
    </w:p>
    <w:p>
      <w:pPr>
        <w:pStyle w:val="Normal"/>
        <w:rPr>
          <w:sz w:val="24"/>
        </w:rPr>
      </w:pPr>
      <w:r>
        <w:rPr>
          <w:sz w:val="24"/>
        </w:rPr>
        <w:t>Telephone:  (713) 853-3300</w:t>
      </w:r>
    </w:p>
    <w:p>
      <w:pPr>
        <w:pStyle w:val="Normal"/>
        <w:tabs>
          <w:tab w:val="clear" w:pos="720"/>
          <w:tab w:val="left" w:pos="5310" w:leader="none"/>
        </w:tabs>
        <w:rPr>
          <w:sz w:val="24"/>
        </w:rPr>
      </w:pPr>
      <w:r>
        <w:rPr>
          <w:sz w:val="24"/>
        </w:rPr>
        <w:t>Facsimile:  (713) 646-4816</w:t>
        <w:tab/>
        <w:t>Enron Energy Services, Inc.</w:t>
      </w:r>
    </w:p>
    <w:p>
      <w:pPr>
        <w:pStyle w:val="Header"/>
        <w:tabs>
          <w:tab w:val="clear" w:pos="4320"/>
          <w:tab w:val="clear" w:pos="8640"/>
          <w:tab w:val="left" w:pos="5310" w:leader="none"/>
        </w:tabs>
        <w:rPr>
          <w:sz w:val="24"/>
        </w:rPr>
      </w:pPr>
      <w:r>
        <w:rPr>
          <w:sz w:val="24"/>
        </w:rPr>
        <w:t>Attention:  Director, Documentation Department</w:t>
        <w:tab/>
        <w:t>1400 Smith Street</w:t>
      </w:r>
    </w:p>
    <w:p>
      <w:pPr>
        <w:pStyle w:val="Normal"/>
        <w:tabs>
          <w:tab w:val="clear" w:pos="720"/>
          <w:tab w:val="left" w:pos="5310" w:leader="none"/>
        </w:tabs>
        <w:rPr>
          <w:sz w:val="24"/>
        </w:rPr>
      </w:pPr>
      <w:r>
        <w:rPr>
          <w:sz w:val="24"/>
        </w:rPr>
        <w:t>and</w:t>
        <w:tab/>
        <w:t>Houston, Texas 77002</w:t>
      </w:r>
    </w:p>
    <w:p>
      <w:pPr>
        <w:pStyle w:val="Header"/>
        <w:tabs>
          <w:tab w:val="clear" w:pos="4320"/>
          <w:tab w:val="clear" w:pos="8640"/>
          <w:tab w:val="left" w:pos="5310" w:leader="none"/>
        </w:tabs>
        <w:rPr>
          <w:sz w:val="24"/>
        </w:rPr>
      </w:pPr>
      <w:r>
        <w:rPr>
          <w:sz w:val="24"/>
        </w:rPr>
        <w:t>Facsimile:  (713) 646-4818</w:t>
        <w:tab/>
        <w:t>Telephone: (713) 853-7413</w:t>
      </w:r>
    </w:p>
    <w:p>
      <w:pPr>
        <w:pStyle w:val="Header"/>
        <w:tabs>
          <w:tab w:val="clear" w:pos="4320"/>
          <w:tab w:val="clear" w:pos="8640"/>
          <w:tab w:val="left" w:pos="5310" w:leader="none"/>
        </w:tabs>
        <w:rPr>
          <w:sz w:val="24"/>
        </w:rPr>
      </w:pPr>
      <w:r>
        <w:rPr>
          <w:sz w:val="24"/>
        </w:rPr>
        <w:t>Attention:  Assistant General Counsel, Trading Group</w:t>
        <w:tab/>
        <w:t>Facsimile: (713) 646-2379</w:t>
      </w:r>
    </w:p>
    <w:p>
      <w:pPr>
        <w:pStyle w:val="Normal"/>
        <w:tabs>
          <w:tab w:val="clear" w:pos="720"/>
          <w:tab w:val="left" w:pos="5310" w:leader="none"/>
        </w:tabs>
        <w:ind w:firstLine="720" w:start="2160" w:end="0"/>
        <w:rPr>
          <w:sz w:val="24"/>
        </w:rPr>
      </w:pPr>
      <w:r>
        <w:rPr>
          <w:sz w:val="24"/>
        </w:rPr>
        <w:tab/>
        <w:t>Attention: General Counsel</w:t>
        <w:br/>
      </w:r>
    </w:p>
    <w:p>
      <w:pPr>
        <w:pStyle w:val="Normal"/>
        <w:ind w:hanging="720" w:start="1440" w:end="0"/>
        <w:rPr/>
      </w:pPr>
      <w:r>
        <w:rPr>
          <w:sz w:val="24"/>
        </w:rPr>
        <w:t>Re:</w:t>
        <w:tab/>
      </w:r>
      <w:r>
        <w:rPr>
          <w:b/>
          <w:sz w:val="24"/>
          <w:u w:val="single"/>
        </w:rPr>
        <w:t>Final Settlement Statement</w:t>
      </w:r>
    </w:p>
    <w:p>
      <w:pPr>
        <w:pStyle w:val="Normal"/>
        <w:rPr>
          <w:b/>
          <w:sz w:val="24"/>
          <w:u w:val="single"/>
        </w:rPr>
      </w:pPr>
      <w:r>
        <w:rPr>
          <w:b/>
          <w:sz w:val="24"/>
          <w:u w:val="single"/>
        </w:rPr>
      </w:r>
    </w:p>
    <w:p>
      <w:pPr>
        <w:pStyle w:val="Normal"/>
        <w:rPr>
          <w:b/>
          <w:sz w:val="24"/>
          <w:u w:val="single"/>
        </w:rPr>
      </w:pPr>
      <w:r>
        <w:rPr>
          <w:b/>
          <w:sz w:val="24"/>
          <w:u w:val="single"/>
        </w:rPr>
      </w:r>
    </w:p>
    <w:p>
      <w:pPr>
        <w:pStyle w:val="BodyTextFirstIndent"/>
        <w:ind w:firstLine="720" w:end="0"/>
        <w:rPr/>
      </w:pPr>
      <w:r>
        <w:rPr/>
        <w:t>We hereby refer to the: (i) the voluntary petitions under title 11 USC (the “</w:t>
      </w:r>
      <w:r>
        <w:rPr>
          <w:u w:val="single"/>
        </w:rPr>
        <w:t>Bankruptcy Code</w:t>
      </w:r>
      <w:r>
        <w:rPr/>
        <w:t>”) filed in the United States Bankruptcy Court, Southern District of New York (the “</w:t>
      </w:r>
      <w:r>
        <w:rPr>
          <w:u w:val="single"/>
        </w:rPr>
        <w:t>Court</w:t>
      </w:r>
      <w:r>
        <w:rPr/>
        <w:t>”) commencing Chapter 11 cases jointly administered under case no. 01-16034 (AJG) (the “</w:t>
      </w:r>
      <w:r>
        <w:rPr>
          <w:u w:val="single"/>
        </w:rPr>
        <w:t>Chapter 11 Cases</w:t>
      </w:r>
      <w:r>
        <w:rPr/>
        <w:t>”) with respect to Enron Corp. (“</w:t>
      </w:r>
      <w:r>
        <w:rPr>
          <w:u w:val="single"/>
        </w:rPr>
        <w:t>Enron</w:t>
      </w:r>
      <w:r>
        <w:rPr/>
        <w:t>”), Enron North America Corp. (“</w:t>
      </w:r>
      <w:r>
        <w:rPr>
          <w:u w:val="single"/>
        </w:rPr>
        <w:t>ENA</w:t>
      </w:r>
      <w:r>
        <w:rPr/>
        <w:t>”), Enron Energy Services, Inc. (“</w:t>
      </w:r>
      <w:r>
        <w:rPr>
          <w:u w:val="single"/>
        </w:rPr>
        <w:t>EES</w:t>
      </w:r>
      <w:r>
        <w:rPr/>
        <w:t>”), and Enron Power Marketing, Inc. (“</w:t>
      </w:r>
      <w:r>
        <w:rPr>
          <w:u w:val="single"/>
        </w:rPr>
        <w:t>EPM</w:t>
      </w:r>
      <w:r>
        <w:rPr/>
        <w:t>”) (collectively, the “</w:t>
      </w:r>
      <w:r>
        <w:rPr>
          <w:u w:val="single"/>
        </w:rPr>
        <w:t>Enron Parties</w:t>
      </w:r>
      <w:r>
        <w:rPr/>
        <w:t>”); (ii) the Master Cross-Product Netting, Setoff, and Security Agreement dated as of March 14, 2001, as amended by the First Amendment thereto dated as of May 4, 2001, and the Second Amendment thereto dated as of October 18, 2001 (as so amended, the “</w:t>
      </w:r>
      <w:r>
        <w:rPr>
          <w:u w:val="single"/>
        </w:rPr>
        <w:t>Master Netting Agreement</w:t>
      </w:r>
      <w:r>
        <w:rPr/>
        <w:t>”) by, between and among The New Power Company (together with its subsidiaries and with NewPower Holdings, Inc., “</w:t>
      </w:r>
      <w:r>
        <w:rPr>
          <w:u w:val="single"/>
        </w:rPr>
        <w:t>NewPower</w:t>
      </w:r>
      <w:r>
        <w:rPr/>
        <w:t>”), ENA, EES, and EPM, and the Guaranty dated as of March 14, 2001 (as ratified from time to time, the “</w:t>
      </w:r>
      <w:r>
        <w:rPr>
          <w:u w:val="single"/>
        </w:rPr>
        <w:t>Guaranty</w:t>
      </w:r>
      <w:r>
        <w:rPr/>
        <w:t>”) from Enron; and (iii) NewPower’s Notice, dated December 3, 2001 (the “</w:t>
      </w:r>
      <w:r>
        <w:rPr>
          <w:u w:val="single"/>
        </w:rPr>
        <w:t>Default Notice</w:t>
      </w:r>
      <w:r>
        <w:rPr/>
        <w:t>”), to the Enron Parties of Default under the Master Netting Agreement, which Notice designated December 3, 2001 as the date NewPower would exercise any and all of its rights and remedies under the Master Netting Agreement, all Underlying Master Agreements, all Transactions and the Guaranty.</w:t>
      </w:r>
    </w:p>
    <w:p>
      <w:pPr>
        <w:pStyle w:val="BodyTextFirstIndent"/>
        <w:ind w:firstLine="720" w:end="0"/>
        <w:rPr/>
      </w:pPr>
      <w:r>
        <w:rPr/>
        <w:t>In exercising its rights as set forth above, NewPower has closed-out all Transactions under the Underlying Master Agreements as of the designated date, and determined the Settlement Amount under each of the Underlying Master Agreements in accordance with the terms of each Underlying Master Agreement.  In addition, pursuant to Section 4 of the Master Netting Agreement, NewPower has netted and reduced the individual Settlement Amounts and offset other permitted amounts in order to determine the Final Settlement Amount.  Based on NewPower’s calculations, as further described in the attached supporting exhibits, the Final Settlement Amount is $8,530,582 due from NewPower to the Enron Parties.</w:t>
      </w:r>
    </w:p>
    <w:p>
      <w:pPr>
        <w:pStyle w:val="BodyTextFirstIndent"/>
        <w:ind w:firstLine="720" w:end="0"/>
        <w:rPr/>
      </w:pPr>
      <w:r>
        <w:rPr/>
        <w:t>Under the Master Netting Agreement, NewPower currently has posted to the Enron Parties $70,195,571 in cash collateral (plus accrued interest) and security interests in other NewPower assets pursuant to the terms of the Second Amendment to the Master Netting Agreement (the “</w:t>
      </w:r>
      <w:r>
        <w:rPr>
          <w:u w:val="single"/>
        </w:rPr>
        <w:t>Replacement Collateral</w:t>
      </w:r>
      <w:r>
        <w:rPr/>
        <w:t>”).  Accordingly, any payment due from NewPower to the Enron Parties is subject to the return of the Replacement Collateral to NewPower.  NewPower, in connection with this Final Settlement Statement, hereby exercises its right under Section 2(d) of the Second Amendment to the Master Netting Agreement to provide cash collateral in replacement of the currently required amount of Replacement Collateral and to terminate the Replacement Collateral Period.  Accordingly, NewPower hereby offers to pay to the Enron Parties the Final Settlement Amount of $8,530,582 in immediately available funds upon (i) the Enron Parties’ acknowledgement and acceptance of the Final Settlement Amount provided in this Final Settlement Statement pursuant to Section 4 of the Master Netting Agreement, (ii) the Enron Parties’ receipt of Court approval satisfactory to NewPower of this Final Settlement Statement, and (iii) confirmation satisfactory to NewPower that all security interests or other liens granted to the Enron Parties on the assets of NewPower have been removed, or concurrently with such payment will be removed, and UCC terminations and releases have been duly executed by the appropriate Enron Parties (as may be required) and filed, or concurrently with such payment will be filed, in all appropriate jurisdictions, pursuant to Section 15 of the General Security Agreement entered into as of October 18,</w:t>
      </w:r>
      <w:r>
        <w:rPr>
          <w:vertAlign w:val="superscript"/>
        </w:rPr>
        <w:t xml:space="preserve"> </w:t>
      </w:r>
      <w:r>
        <w:rPr/>
        <w:t>2001 by NewPower in favor of ENA, EES, and EPM (the “</w:t>
      </w:r>
      <w:r>
        <w:rPr>
          <w:u w:val="single"/>
        </w:rPr>
        <w:t>Security Agreement</w:t>
      </w:r>
      <w:r>
        <w:rPr/>
        <w:t xml:space="preserve">”).  </w:t>
      </w:r>
    </w:p>
    <w:p>
      <w:pPr>
        <w:pStyle w:val="BodyTextFirstIndent"/>
        <w:ind w:firstLine="720" w:end="0"/>
        <w:rPr/>
      </w:pPr>
      <w:r>
        <w:rPr/>
        <w:t>As a result of NewPower’s exercise of its right to terminate the Replacement Collateral Period and offer to pay to the Enron Parties in cash the full amount owed by NewPower to the Enron Parties under the Master Netting Agreement, and as a result of the Chapter 11 Cases, NewPower takes the position that it is excused from any other obligations under the Security Agreement and the Master Netting Agreement as if payment of the Replacement Collateral had been made under Section 2(d) of the Second Amendment to the Master Netting Agreement.</w:t>
      </w:r>
    </w:p>
    <w:p>
      <w:pPr>
        <w:pStyle w:val="BodyTextFirstIndent"/>
        <w:ind w:firstLine="720" w:end="0"/>
        <w:rPr/>
      </w:pPr>
      <w:r>
        <w:rPr/>
        <w:t>Please contact the undersigned at 914-697-5410 (telephone) or 914-697-2462 (facsimile) at your earliest convenience to arrange for our payment of $8,530,582 cash to you in full satisfaction of NewPower’s obligations to you, subject to the satisfaction of the conditions indicated above.</w:t>
      </w:r>
    </w:p>
    <w:p>
      <w:pPr>
        <w:pStyle w:val="BodyTextFirstIndent"/>
        <w:spacing w:before="0" w:after="0"/>
        <w:ind w:firstLine="720" w:end="0"/>
        <w:rPr/>
      </w:pPr>
      <w:r>
        <w:rPr/>
        <w:t>Capitalized terms used but not defined herein shall have the meanings set forth in the Master Netting Agreement.  NewPower reserves all other rights it may have arising under the Master Netting Agreement, the Underlying Master Agreements, any other agreement between an Enron Party and NewPower, at law or in equity.</w:t>
      </w:r>
    </w:p>
    <w:p>
      <w:pPr>
        <w:pStyle w:val="BodyTextFirstIndent"/>
        <w:spacing w:before="0" w:after="0"/>
        <w:ind w:firstLine="720" w:end="0"/>
        <w:rPr/>
      </w:pPr>
      <w:r>
        <w:rPr/>
      </w:r>
    </w:p>
    <w:p>
      <w:pPr>
        <w:pStyle w:val="BodyTextFirstIndent"/>
        <w:spacing w:before="0" w:after="0"/>
        <w:ind w:firstLine="720" w:end="0"/>
        <w:rPr/>
      </w:pPr>
      <w:r>
        <w:rPr/>
      </w:r>
    </w:p>
    <w:p>
      <w:pPr>
        <w:pStyle w:val="Normal"/>
        <w:suppressAutoHyphens w:val="true"/>
        <w:ind w:firstLine="4320" w:end="0"/>
        <w:rPr>
          <w:sz w:val="24"/>
        </w:rPr>
      </w:pPr>
      <w:r>
        <w:rPr>
          <w:sz w:val="24"/>
        </w:rPr>
      </w:r>
    </w:p>
    <w:p>
      <w:pPr>
        <w:pStyle w:val="Normal"/>
        <w:tabs>
          <w:tab w:val="clear" w:pos="720"/>
          <w:tab w:val="left" w:pos="0" w:leader="none"/>
        </w:tabs>
        <w:suppressAutoHyphens w:val="true"/>
        <w:rPr/>
      </w:pPr>
      <w:r>
        <w:rPr>
          <w:sz w:val="24"/>
        </w:rPr>
        <w:tab/>
        <w:tab/>
        <w:tab/>
        <w:tab/>
        <w:t>By:</w:t>
        <w:tab/>
      </w:r>
      <w:r>
        <w:rPr>
          <w:sz w:val="24"/>
          <w:u w:val="single"/>
        </w:rPr>
        <w:t>s/William Cronin</w:t>
        <w:tab/>
        <w:tab/>
      </w:r>
    </w:p>
    <w:p>
      <w:pPr>
        <w:pStyle w:val="Normal"/>
        <w:suppressAutoHyphens w:val="true"/>
        <w:ind w:start="3600" w:end="0"/>
        <w:rPr>
          <w:sz w:val="24"/>
        </w:rPr>
      </w:pPr>
      <w:r>
        <w:rPr>
          <w:sz w:val="24"/>
        </w:rPr>
        <w:t xml:space="preserve">  </w:t>
      </w:r>
      <w:r>
        <w:rPr>
          <w:sz w:val="24"/>
        </w:rPr>
        <w:t>William Cronin</w:t>
      </w:r>
    </w:p>
    <w:p>
      <w:pPr>
        <w:pStyle w:val="Normal"/>
        <w:suppressAutoHyphens w:val="true"/>
        <w:ind w:start="2880" w:end="0"/>
        <w:rPr>
          <w:sz w:val="24"/>
        </w:rPr>
      </w:pPr>
      <w:r>
        <w:rPr>
          <w:sz w:val="24"/>
        </w:rPr>
      </w:r>
    </w:p>
    <w:p>
      <w:pPr>
        <w:pStyle w:val="Normal"/>
        <w:suppressAutoHyphens w:val="true"/>
        <w:ind w:start="2880" w:end="0"/>
        <w:rPr>
          <w:sz w:val="24"/>
        </w:rPr>
      </w:pPr>
      <w:r>
        <w:rPr>
          <w:sz w:val="24"/>
        </w:rPr>
      </w:r>
    </w:p>
    <w:p>
      <w:pPr>
        <w:pStyle w:val="Heading3"/>
        <w:ind w:hanging="0" w:start="0"/>
        <w:rPr/>
      </w:pPr>
      <w:r>
        <w:rPr/>
        <w:t>Enclosure</w:t>
      </w:r>
    </w:p>
    <w:p>
      <w:pPr>
        <w:pStyle w:val="Normal"/>
        <w:suppressAutoHyphens w:val="true"/>
        <w:rPr>
          <w:sz w:val="24"/>
        </w:rPr>
      </w:pPr>
      <w:r>
        <w:rPr>
          <w:sz w:val="24"/>
        </w:rPr>
      </w:r>
    </w:p>
    <w:p>
      <w:pPr>
        <w:pStyle w:val="Normal"/>
        <w:rPr>
          <w:sz w:val="24"/>
        </w:rPr>
      </w:pPr>
      <w:r>
        <w:rPr>
          <w:sz w:val="24"/>
        </w:rPr>
        <w:t xml:space="preserve">cc:  </w:t>
        <w:tab/>
      </w:r>
    </w:p>
    <w:p>
      <w:pPr>
        <w:pStyle w:val="Normal"/>
        <w:rPr>
          <w:sz w:val="24"/>
        </w:rPr>
      </w:pPr>
      <w:r>
        <w:rPr>
          <w:sz w:val="24"/>
        </w:rPr>
      </w:r>
    </w:p>
    <w:p>
      <w:pPr>
        <w:pStyle w:val="Normal"/>
        <w:rPr>
          <w:sz w:val="24"/>
        </w:rPr>
      </w:pPr>
      <w:r>
        <w:rPr>
          <w:sz w:val="24"/>
        </w:rPr>
        <w:tab/>
        <w:t>Mr. Mark Haedicke on behalf of ENA (via overnight mail and email)</w:t>
      </w:r>
    </w:p>
    <w:p>
      <w:pPr>
        <w:pStyle w:val="Normal"/>
        <w:ind w:firstLine="720" w:end="0"/>
        <w:rPr>
          <w:sz w:val="24"/>
        </w:rPr>
      </w:pPr>
      <w:r>
        <w:rPr>
          <w:sz w:val="24"/>
        </w:rPr>
        <w:t>Mr. Mark Taylor on behalf of EPM (via overnight mail and email)</w:t>
      </w:r>
    </w:p>
    <w:p>
      <w:pPr>
        <w:pStyle w:val="Normal"/>
        <w:ind w:firstLine="720" w:end="0"/>
        <w:rPr>
          <w:sz w:val="24"/>
        </w:rPr>
      </w:pPr>
      <w:r>
        <w:rPr>
          <w:sz w:val="24"/>
        </w:rPr>
        <w:t>Ms. Paula Rieker on behalf of Enron (via overnight mail and email)</w:t>
      </w:r>
    </w:p>
    <w:p>
      <w:pPr>
        <w:pStyle w:val="Normal"/>
        <w:ind w:firstLine="720" w:end="0"/>
        <w:rPr>
          <w:sz w:val="24"/>
        </w:rPr>
      </w:pPr>
      <w:r>
        <w:rPr>
          <w:sz w:val="24"/>
        </w:rPr>
        <w:t>Ms. Vicki Sharp on behalf of EES (via overnight mail and email)</w:t>
      </w:r>
    </w:p>
    <w:p>
      <w:pPr>
        <w:pStyle w:val="Normal"/>
        <w:ind w:firstLine="720" w:end="0"/>
        <w:rPr>
          <w:sz w:val="24"/>
        </w:rPr>
      </w:pPr>
      <w:r>
        <w:rPr>
          <w:sz w:val="24"/>
        </w:rPr>
        <w:t>Mr. Richard Buy (via overnight mail and email)</w:t>
      </w:r>
    </w:p>
    <w:p>
      <w:pPr>
        <w:pStyle w:val="Normal"/>
        <w:ind w:firstLine="720" w:end="0"/>
        <w:rPr>
          <w:sz w:val="24"/>
        </w:rPr>
      </w:pPr>
      <w:r>
        <w:rPr>
          <w:sz w:val="24"/>
        </w:rPr>
        <w:t>Mr. William Bradford (via overnight mail and email)</w:t>
      </w:r>
    </w:p>
    <w:p>
      <w:pPr>
        <w:pStyle w:val="Normal"/>
        <w:rPr>
          <w:sz w:val="24"/>
        </w:rPr>
      </w:pPr>
      <w:r>
        <w:rPr>
          <w:sz w:val="24"/>
        </w:rPr>
        <w:tab/>
        <w:t>Ms. Lisa Mellencamp (via overnight mail and email)</w:t>
      </w:r>
    </w:p>
    <w:p>
      <w:pPr>
        <w:pStyle w:val="Normal"/>
        <w:rPr>
          <w:sz w:val="24"/>
        </w:rPr>
      </w:pPr>
      <w:r>
        <w:rPr>
          <w:sz w:val="24"/>
        </w:rPr>
        <w:tab/>
        <w:t>Mr. Michael Tribolet (via overnight mail and email)</w:t>
      </w:r>
    </w:p>
    <w:p>
      <w:pPr>
        <w:pStyle w:val="Normal"/>
        <w:rPr>
          <w:sz w:val="24"/>
        </w:rPr>
      </w:pPr>
      <w:r>
        <w:rPr>
          <w:sz w:val="24"/>
        </w:rPr>
      </w:r>
    </w:p>
    <w:p>
      <w:pPr>
        <w:pStyle w:val="Header"/>
        <w:tabs>
          <w:tab w:val="clear" w:pos="4320"/>
          <w:tab w:val="clear" w:pos="8640"/>
        </w:tabs>
        <w:spacing w:lineRule="atLeast" w:line="280"/>
        <w:rPr>
          <w:sz w:val="24"/>
          <w:lang w:val="en-CA"/>
        </w:rPr>
      </w:pPr>
      <w:r>
        <w:rPr>
          <w:sz w:val="24"/>
          <w:lang w:val="en-CA"/>
        </w:rPr>
      </w:r>
      <w:r>
        <mc:AlternateContent>
          <mc:Choice Requires="wps">
            <w:drawing>
              <wp:anchor behindDoc="0" distT="0" distB="0" distL="114935" distR="114935" simplePos="0" locked="0" layoutInCell="0" allowOverlap="1" relativeHeight="4">
                <wp:simplePos x="0" y="0"/>
                <wp:positionH relativeFrom="page">
                  <wp:posOffset>914400</wp:posOffset>
                </wp:positionH>
                <wp:positionV relativeFrom="page">
                  <wp:posOffset>9601200</wp:posOffset>
                </wp:positionV>
                <wp:extent cx="5943600" cy="274320"/>
                <wp:effectExtent l="0" t="0" r="0" b="0"/>
                <wp:wrapTight wrapText="bothSides">
                  <wp:wrapPolygon edited="0">
                    <wp:start x="0" y="0"/>
                    <wp:lineTo x="21600" y="0"/>
                    <wp:lineTo x="21600" y="21600"/>
                    <wp:lineTo x="0" y="21600"/>
                    <wp:lineTo x="0" y="0"/>
                  </wp:wrapPolygon>
                </wp:wrapTight>
                <wp:docPr id="3" name="Frame1"/>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rPr>
                                <w:sz w:val="14"/>
                              </w:rPr>
                            </w:pPr>
                            <w:r>
                              <w:rPr>
                                <w:sz w:val="14"/>
                              </w:rPr>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756pt;mso-position-vertical-relative:page;margin-left:72pt;mso-position-horizontal-relative:page">
                <v:fill opacity="0f"/>
                <v:textbox inset="0.000694444444444445in,0.000694444444444445in,0.000694444444444445in,0.000694444444444445in">
                  <w:txbxContent>
                    <w:p>
                      <w:pPr>
                        <w:pStyle w:val="Normal"/>
                        <w:rPr>
                          <w:sz w:val="14"/>
                        </w:rPr>
                      </w:pPr>
                      <w:r>
                        <w:rPr>
                          <w:sz w:val="14"/>
                        </w:rPr>
                      </w:r>
                    </w:p>
                  </w:txbxContent>
                </v:textbox>
                <w10:wrap type="square"/>
              </v:rect>
            </w:pict>
          </mc:Fallback>
        </mc:AlternateContent>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Notice of Final Settlement Amount</w:t>
    </w:r>
  </w:p>
  <w:p>
    <w:pPr>
      <w:pStyle w:val="Header"/>
      <w:rPr/>
    </w:pPr>
    <w:r>
      <w:rPr/>
      <w:t>January 2, 2002</w:t>
    </w:r>
  </w:p>
  <w:p>
    <w:pPr>
      <w:pStyle w:val="Header"/>
      <w:rPr/>
    </w:pPr>
    <w:r>
      <w:rPr/>
      <w:t>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SADateFormat" w:val="NoDate"/>
    <w:docVar w:name="SAFineFont" w:val="1"/>
    <w:docVar w:name="SAPosition" w:val="Standard"/>
    <w:docVar w:name="SARightJustify" w:val="0"/>
    <w:docVar w:name="SAVertical" w:val="0.5"/>
    <w:docVar w:name="SWDocIDLocation" w:val="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firstLine="720" w:start="5760" w:end="0"/>
      <w:outlineLvl w:val="1"/>
    </w:pPr>
    <w:rPr>
      <w:b/>
      <w:sz w:val="18"/>
    </w:rPr>
  </w:style>
  <w:style w:type="paragraph" w:styleId="Heading3">
    <w:name w:val="heading 3"/>
    <w:basedOn w:val="Normal"/>
    <w:next w:val="Normal"/>
    <w:qFormat/>
    <w:pPr>
      <w:keepNext w:val="true"/>
      <w:numPr>
        <w:ilvl w:val="2"/>
        <w:numId w:val="1"/>
      </w:numPr>
      <w:suppressAutoHyphens w:val="true"/>
      <w:outlineLvl w:val="2"/>
    </w:pPr>
    <w:rPr>
      <w:sz w:val="24"/>
    </w:rPr>
  </w:style>
  <w:style w:type="paragraph" w:styleId="Heading4">
    <w:name w:val="heading 4"/>
    <w:basedOn w:val="Normal"/>
    <w:next w:val="Normal"/>
    <w:qFormat/>
    <w:pPr>
      <w:keepNext w:val="true"/>
      <w:numPr>
        <w:ilvl w:val="3"/>
        <w:numId w:val="1"/>
      </w:numPr>
      <w:outlineLvl w:val="3"/>
    </w:pPr>
    <w:rPr>
      <w:b/>
      <w:i/>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lineRule="auto" w:line="240" w:before="0" w:after="240"/>
      <w:ind w:firstLine="1440" w:start="0" w:end="0"/>
      <w:jc w:val="start"/>
    </w:pPr>
    <w:rPr>
      <w:sz w:val="24"/>
    </w:rPr>
  </w:style>
  <w:style w:type="paragraph" w:styleId="ReLine">
    <w:name w:val="Re Line"/>
    <w:basedOn w:val="Normal"/>
    <w:next w:val="Salutation"/>
    <w:qFormat/>
    <w:pPr>
      <w:spacing w:before="240" w:after="0"/>
      <w:ind w:hanging="720" w:start="2160" w:end="0"/>
    </w:pPr>
    <w:rPr>
      <w:sz w:val="24"/>
    </w:rPr>
  </w:style>
  <w:style w:type="paragraph" w:styleId="Subtitle">
    <w:name w:val="Subtitle"/>
    <w:basedOn w:val="Normal"/>
    <w:next w:val="BodyTextFirstIndent"/>
    <w:qFormat/>
    <w:pPr>
      <w:keepNext w:val="true"/>
      <w:keepLines/>
      <w:spacing w:before="0" w:after="240"/>
      <w:jc w:val="center"/>
    </w:pPr>
    <w:rPr>
      <w:sz w:val="24"/>
    </w:rPr>
  </w:style>
  <w:style w:type="paragraph" w:styleId="Salutation">
    <w:name w:val="Salutation"/>
    <w:basedOn w:val="Normal"/>
    <w:next w:val="Normal"/>
    <w:qFormat/>
    <w:pPr/>
    <w:rPr/>
  </w:style>
  <w:style w:type="paragraph" w:styleId="BodyTextIndent">
    <w:name w:val="Body Text Indent"/>
    <w:basedOn w:val="Normal"/>
    <w:pPr>
      <w:suppressAutoHyphens w:val="true"/>
      <w:ind w:hanging="180" w:start="3780" w:end="0"/>
    </w:pPr>
    <w:rPr/>
  </w:style>
  <w:style w:type="paragraph" w:styleId="BodyText2">
    <w:name w:val="Body Text 2"/>
    <w:basedOn w:val="Normal"/>
    <w:qFormat/>
    <w:pPr>
      <w:ind w:hanging="0" w:start="0" w:end="-1440"/>
    </w:pPr>
    <w:rPr/>
  </w:style>
  <w:style w:type="paragraph" w:styleId="BodyTextIndent2">
    <w:name w:val="Body Text Indent 2"/>
    <w:basedOn w:val="Normal"/>
    <w:qFormat/>
    <w:pPr>
      <w:ind w:hanging="720" w:start="1440" w:end="0"/>
    </w:pPr>
    <w:rPr>
      <w:b/>
    </w:rPr>
  </w:style>
  <w:style w:type="paragraph" w:styleId="BodyText3">
    <w:name w:val="Body Text 3"/>
    <w:basedOn w:val="Normal"/>
    <w:qFormat/>
    <w:pPr>
      <w:tabs>
        <w:tab w:val="clear" w:pos="720"/>
        <w:tab w:val="left" w:pos="531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Usltrhed.dot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2002-01-02T22:38:00Z</dcterms:created>
  <dc:creator>James L. Malone III</dc:creator>
  <dc:description/>
  <dc:language>en-CA</dc:language>
  <cp:lastModifiedBy>Gail A. Dapoliite</cp:lastModifiedBy>
  <cp:lastPrinted>2002-01-02T18:22:00Z</cp:lastPrinted>
  <dcterms:modified xsi:type="dcterms:W3CDTF">2002-01-02T22:53:00Z</dcterms:modified>
  <cp:revision>3</cp:revision>
  <dc:subject/>
  <dc:title>February 1,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