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December 28, 2000</w:t>
      </w:r>
    </w:p>
    <w:p>
      <w:pPr>
        <w:pStyle w:val="Normal"/>
        <w:rPr/>
      </w:pPr>
      <w:r>
        <w:rPr/>
      </w:r>
    </w:p>
    <w:p>
      <w:pPr>
        <w:pStyle w:val="Normal"/>
        <w:rPr/>
      </w:pPr>
      <w:r>
        <w:rPr/>
      </w:r>
    </w:p>
    <w:p>
      <w:pPr>
        <w:pStyle w:val="Normal"/>
        <w:tabs>
          <w:tab w:val="clear" w:pos="720"/>
          <w:tab w:val="left" w:pos="900" w:leader="none"/>
        </w:tabs>
        <w:rPr/>
      </w:pPr>
      <w:r>
        <w:rPr/>
        <w:t>TO:</w:t>
        <w:tab/>
        <w:t>Karry Kendall</w:t>
      </w:r>
    </w:p>
    <w:p>
      <w:pPr>
        <w:pStyle w:val="Normal"/>
        <w:tabs>
          <w:tab w:val="clear" w:pos="720"/>
          <w:tab w:val="left" w:pos="900" w:leader="none"/>
        </w:tabs>
        <w:rPr/>
      </w:pPr>
      <w:r>
        <w:rPr/>
      </w:r>
    </w:p>
    <w:p>
      <w:pPr>
        <w:pStyle w:val="Normal"/>
        <w:tabs>
          <w:tab w:val="clear" w:pos="720"/>
          <w:tab w:val="left" w:pos="900" w:leader="none"/>
        </w:tabs>
        <w:rPr/>
      </w:pPr>
      <w:r>
        <w:rPr/>
        <w:t>FROM:</w:t>
        <w:tab/>
        <w:t>Patty Wiederholt</w:t>
      </w:r>
    </w:p>
    <w:p>
      <w:pPr>
        <w:pStyle w:val="Normal"/>
        <w:tabs>
          <w:tab w:val="clear" w:pos="720"/>
          <w:tab w:val="left" w:pos="900" w:leader="none"/>
        </w:tabs>
        <w:rPr/>
      </w:pPr>
      <w:r>
        <w:rPr/>
      </w:r>
    </w:p>
    <w:p>
      <w:pPr>
        <w:pStyle w:val="Normal"/>
        <w:tabs>
          <w:tab w:val="clear" w:pos="720"/>
          <w:tab w:val="left" w:pos="900" w:leader="none"/>
        </w:tabs>
        <w:rPr/>
      </w:pPr>
      <w:r>
        <w:rPr/>
        <w:t>RE:</w:t>
        <w:tab/>
        <w:t>Notice of Disagreement</w:t>
      </w:r>
    </w:p>
    <w:p>
      <w:pPr>
        <w:pStyle w:val="Normal"/>
        <w:pBdr>
          <w:bottom w:val="single" w:sz="4" w:space="1" w:color="000000"/>
        </w:pBdr>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t>As provided in Section 2.5 – Post Closing Adjustment to the Purchase Price of the Purchase and Sale Agreement between Enron North America and NBP Energy Pipelines, L.L.C. dated September 21, 2000 (Purchase Agreement) the Purchaser hereby gives written notice of its disagreement to Seller (terms as defined per the above referenced Purchase Agreement).  On December 1, 2000 Seller provided to Purchaser a Combined Companies Post Closing Adjustment to the Purchase Price through October, 2000 Additional Due Enron (Schedule).  References to amounts below are taken from the Schedule.  The dollar amount, nature and basis of the Purchaser’s disagreement is as follows:</w:t>
      </w:r>
    </w:p>
    <w:p>
      <w:pPr>
        <w:pStyle w:val="Normal"/>
        <w:tabs>
          <w:tab w:val="clear" w:pos="720"/>
          <w:tab w:val="left" w:pos="900" w:leader="none"/>
        </w:tabs>
        <w:rPr/>
      </w:pPr>
      <w:r>
        <w:rPr/>
      </w:r>
    </w:p>
    <w:tbl>
      <w:tblPr>
        <w:tblW w:w="8568" w:type="dxa"/>
        <w:jc w:val="start"/>
        <w:tblInd w:w="0" w:type="dxa"/>
        <w:tblLayout w:type="fixed"/>
        <w:tblCellMar>
          <w:top w:w="0" w:type="dxa"/>
          <w:start w:w="108" w:type="dxa"/>
          <w:bottom w:w="0" w:type="dxa"/>
          <w:end w:w="108" w:type="dxa"/>
        </w:tblCellMar>
      </w:tblPr>
      <w:tblGrid>
        <w:gridCol w:w="6858"/>
        <w:gridCol w:w="1710"/>
      </w:tblGrid>
      <w:tr>
        <w:trPr/>
        <w:tc>
          <w:tcPr>
            <w:tcW w:w="6858" w:type="dxa"/>
            <w:tcBorders/>
          </w:tcPr>
          <w:p>
            <w:pPr>
              <w:pStyle w:val="Heading1"/>
              <w:keepNext w:val="false"/>
              <w:ind w:hanging="0" w:start="0"/>
              <w:rPr/>
            </w:pPr>
            <w:r>
              <w:rPr/>
              <w:t>BASIS</w:t>
            </w:r>
          </w:p>
        </w:tc>
        <w:tc>
          <w:tcPr>
            <w:tcW w:w="1710" w:type="dxa"/>
            <w:tcBorders/>
          </w:tcPr>
          <w:p>
            <w:pPr>
              <w:pStyle w:val="Heading2"/>
              <w:keepNext w:val="false"/>
              <w:ind w:hanging="0" w:start="0"/>
              <w:rPr>
                <w:b w:val="false"/>
                <w:u w:val="none"/>
              </w:rPr>
            </w:pPr>
            <w:r>
              <w:rPr>
                <w:rFonts w:eastAsia="Arial"/>
                <w:u w:val="none"/>
              </w:rPr>
              <w:t xml:space="preserve">  </w:t>
            </w:r>
            <w:r>
              <w:rPr/>
              <w:t>AMOUNT</w:t>
            </w:r>
          </w:p>
          <w:p>
            <w:pPr>
              <w:pStyle w:val="Heading2"/>
              <w:keepNext w:val="false"/>
              <w:ind w:hanging="0" w:start="0"/>
              <w:rPr>
                <w:b w:val="false"/>
                <w:u w:val="none"/>
              </w:rPr>
            </w:pPr>
            <w:r>
              <w:rPr>
                <w:b w:val="false"/>
                <w:u w:val="none"/>
              </w:rPr>
              <w:t>(dollars)</w:t>
            </w:r>
          </w:p>
        </w:tc>
      </w:tr>
      <w:tr>
        <w:trPr/>
        <w:tc>
          <w:tcPr>
            <w:tcW w:w="6858" w:type="dxa"/>
            <w:tcBorders/>
          </w:tcPr>
          <w:p>
            <w:pPr>
              <w:pStyle w:val="Heading3"/>
              <w:keepNext w:val="false"/>
              <w:snapToGrid w:val="false"/>
              <w:ind w:hanging="0" w:start="0"/>
              <w:rPr>
                <w:b/>
                <w:u w:val="none"/>
              </w:rPr>
            </w:pPr>
            <w:r>
              <w:rPr>
                <w:b/>
                <w:u w:val="none"/>
              </w:rPr>
            </w:r>
          </w:p>
          <w:p>
            <w:pPr>
              <w:pStyle w:val="Heading3"/>
              <w:keepNext w:val="false"/>
              <w:ind w:hanging="0" w:start="0"/>
              <w:rPr/>
            </w:pPr>
            <w:r>
              <w:rPr/>
              <w:t>Revenues Increased</w:t>
            </w:r>
          </w:p>
          <w:p>
            <w:pPr>
              <w:pStyle w:val="Normal"/>
              <w:tabs>
                <w:tab w:val="clear" w:pos="720"/>
                <w:tab w:val="left" w:pos="900" w:leader="none"/>
              </w:tabs>
              <w:rPr/>
            </w:pPr>
            <w:r>
              <w:rPr/>
            </w:r>
          </w:p>
          <w:p>
            <w:pPr>
              <w:pStyle w:val="Normal"/>
              <w:tabs>
                <w:tab w:val="clear" w:pos="720"/>
                <w:tab w:val="left" w:pos="900" w:leader="none"/>
              </w:tabs>
              <w:rPr/>
            </w:pPr>
            <w:r>
              <w:rPr/>
              <w:t>Cash receipts is defined per the Purchase Agreement as “all cash received” (see Purchase Agreement for complete definition).  The following amounts do not meet the terms of the definitions:</w:t>
            </w:r>
          </w:p>
          <w:p>
            <w:pPr>
              <w:pStyle w:val="Normal"/>
              <w:tabs>
                <w:tab w:val="clear" w:pos="720"/>
                <w:tab w:val="left" w:pos="900" w:leader="none"/>
              </w:tabs>
              <w:rPr/>
            </w:pPr>
            <w:r>
              <w:rPr/>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Normal"/>
              <w:tabs>
                <w:tab w:val="clear" w:pos="720"/>
                <w:tab w:val="left" w:pos="900" w:leader="none"/>
              </w:tabs>
              <w:rPr/>
            </w:pPr>
            <w:r>
              <w:rPr/>
              <w:t>Natural Gas Revenues – Intercompany Sales – 4005000</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Normal"/>
              <w:tabs>
                <w:tab w:val="clear" w:pos="720"/>
                <w:tab w:val="left" w:pos="900" w:leader="none"/>
              </w:tabs>
              <w:rPr/>
            </w:pPr>
            <w:r>
              <w:rPr/>
              <w:tab/>
              <w:t>June Estimate Reversal</w:t>
            </w:r>
          </w:p>
        </w:tc>
        <w:tc>
          <w:tcPr>
            <w:tcW w:w="1710" w:type="dxa"/>
            <w:tcBorders/>
          </w:tcPr>
          <w:p>
            <w:pPr>
              <w:pStyle w:val="Normal"/>
              <w:tabs>
                <w:tab w:val="clear" w:pos="720"/>
                <w:tab w:val="decimal" w:pos="1062" w:leader="none"/>
              </w:tabs>
              <w:rPr/>
            </w:pPr>
            <w:r>
              <w:rPr/>
              <w:t>11,462.73</w:t>
            </w:r>
          </w:p>
        </w:tc>
      </w:tr>
      <w:tr>
        <w:trPr/>
        <w:tc>
          <w:tcPr>
            <w:tcW w:w="6858" w:type="dxa"/>
            <w:tcBorders/>
          </w:tcPr>
          <w:p>
            <w:pPr>
              <w:pStyle w:val="Normal"/>
              <w:tabs>
                <w:tab w:val="clear" w:pos="720"/>
                <w:tab w:val="left" w:pos="900" w:leader="none"/>
              </w:tabs>
              <w:rPr/>
            </w:pPr>
            <w:r>
              <w:rPr/>
              <w:t>Natural Gas Revenues – Transportation – Intercompany Sales – 40011100</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Normal"/>
              <w:tabs>
                <w:tab w:val="clear" w:pos="720"/>
                <w:tab w:val="left" w:pos="900" w:leader="none"/>
              </w:tabs>
              <w:rPr/>
            </w:pPr>
            <w:r>
              <w:rPr/>
              <w:tab/>
              <w:t>June Estimate Reversal</w:t>
            </w:r>
          </w:p>
        </w:tc>
        <w:tc>
          <w:tcPr>
            <w:tcW w:w="1710" w:type="dxa"/>
            <w:tcBorders/>
          </w:tcPr>
          <w:p>
            <w:pPr>
              <w:pStyle w:val="Normal"/>
              <w:tabs>
                <w:tab w:val="clear" w:pos="720"/>
                <w:tab w:val="decimal" w:pos="1062" w:leader="none"/>
              </w:tabs>
              <w:rPr/>
            </w:pPr>
            <w:r>
              <w:rPr/>
              <w:t>406,535.98</w:t>
            </w:r>
          </w:p>
        </w:tc>
      </w:tr>
      <w:tr>
        <w:trPr/>
        <w:tc>
          <w:tcPr>
            <w:tcW w:w="6858" w:type="dxa"/>
            <w:tcBorders/>
          </w:tcPr>
          <w:p>
            <w:pPr>
              <w:pStyle w:val="Heading3"/>
              <w:keepNext w:val="false"/>
              <w:snapToGrid w:val="false"/>
              <w:ind w:hanging="0" w:start="0"/>
              <w:rPr/>
            </w:pPr>
            <w:r>
              <w:rPr/>
            </w:r>
          </w:p>
          <w:p>
            <w:pPr>
              <w:pStyle w:val="Heading3"/>
              <w:keepNext w:val="false"/>
              <w:ind w:hanging="0" w:start="0"/>
              <w:rPr/>
            </w:pPr>
            <w:r>
              <w:rPr/>
              <w:t>Operating and O&amp;M Costs Increased</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Heading3"/>
              <w:keepNext w:val="false"/>
              <w:snapToGrid w:val="false"/>
              <w:ind w:hanging="0" w:start="0"/>
              <w:rPr>
                <w:b w:val="false"/>
              </w:rPr>
            </w:pPr>
            <w:r>
              <w:rPr>
                <w:b w:val="false"/>
              </w:rPr>
            </w:r>
          </w:p>
        </w:tc>
        <w:tc>
          <w:tcPr>
            <w:tcW w:w="1710" w:type="dxa"/>
            <w:tcBorders/>
          </w:tcPr>
          <w:p>
            <w:pPr>
              <w:pStyle w:val="Normal"/>
              <w:tabs>
                <w:tab w:val="clear" w:pos="720"/>
                <w:tab w:val="decimal" w:pos="1062" w:leader="none"/>
              </w:tabs>
              <w:snapToGrid w:val="false"/>
              <w:rPr>
                <w:b w:val="false"/>
              </w:rPr>
            </w:pPr>
            <w:r>
              <w:rPr>
                <w:b w:val="false"/>
              </w:rPr>
            </w:r>
          </w:p>
        </w:tc>
      </w:tr>
      <w:tr>
        <w:trPr/>
        <w:tc>
          <w:tcPr>
            <w:tcW w:w="6858" w:type="dxa"/>
            <w:tcBorders/>
          </w:tcPr>
          <w:p>
            <w:pPr>
              <w:pStyle w:val="Heading3"/>
              <w:keepNext w:val="false"/>
              <w:ind w:hanging="0" w:start="0"/>
              <w:rPr>
                <w:b w:val="false"/>
                <w:u w:val="single"/>
              </w:rPr>
            </w:pPr>
            <w:r>
              <w:rPr>
                <w:b w:val="false"/>
                <w:u w:val="single"/>
              </w:rPr>
              <w:t>Operating Expenses</w:t>
            </w:r>
          </w:p>
        </w:tc>
        <w:tc>
          <w:tcPr>
            <w:tcW w:w="1710" w:type="dxa"/>
            <w:tcBorders/>
          </w:tcPr>
          <w:p>
            <w:pPr>
              <w:pStyle w:val="Normal"/>
              <w:tabs>
                <w:tab w:val="clear" w:pos="720"/>
                <w:tab w:val="decimal" w:pos="1062" w:leader="none"/>
              </w:tabs>
              <w:snapToGrid w:val="false"/>
              <w:rPr>
                <w:b w:val="false"/>
                <w:u w:val="single"/>
              </w:rPr>
            </w:pPr>
            <w:r>
              <w:rPr>
                <w:b w:val="false"/>
                <w:u w:val="single"/>
              </w:rPr>
            </w:r>
          </w:p>
        </w:tc>
      </w:tr>
      <w:tr>
        <w:trPr/>
        <w:tc>
          <w:tcPr>
            <w:tcW w:w="6858" w:type="dxa"/>
            <w:tcBorders/>
          </w:tcPr>
          <w:p>
            <w:pPr>
              <w:pStyle w:val="Heading3"/>
              <w:keepNext w:val="false"/>
              <w:snapToGrid w:val="false"/>
              <w:ind w:hanging="0" w:start="0"/>
              <w:rPr>
                <w:b w:val="false"/>
              </w:rPr>
            </w:pPr>
            <w:r>
              <w:rPr>
                <w:b w:val="false"/>
              </w:rPr>
            </w:r>
          </w:p>
          <w:p>
            <w:pPr>
              <w:pStyle w:val="Heading3"/>
              <w:keepNext w:val="false"/>
              <w:ind w:hanging="0" w:start="0"/>
              <w:rPr>
                <w:b w:val="false"/>
              </w:rPr>
            </w:pPr>
            <w:r>
              <w:rPr>
                <w:b w:val="false"/>
              </w:rPr>
              <w:t>Schedule A attached.  The amounts per this schedule do not meet the definition of Cash Disbursements per the Purchase Agreement.  The Purchaser reserves the right to adjustments pertaining to the remaining balance of $738,967.37 in this category pending further detail review.</w:t>
            </w:r>
          </w:p>
        </w:tc>
        <w:tc>
          <w:tcPr>
            <w:tcW w:w="1710" w:type="dxa"/>
            <w:tcBorders/>
          </w:tcPr>
          <w:p>
            <w:pPr>
              <w:pStyle w:val="Normal"/>
              <w:tabs>
                <w:tab w:val="clear" w:pos="720"/>
                <w:tab w:val="decimal" w:pos="1062" w:leader="none"/>
              </w:tabs>
              <w:snapToGrid w:val="false"/>
              <w:rPr>
                <w:b w:val="false"/>
              </w:rPr>
            </w:pPr>
            <w:r>
              <w:rPr>
                <w:b w:val="false"/>
              </w:rPr>
            </w:r>
          </w:p>
          <w:p>
            <w:pPr>
              <w:pStyle w:val="Normal"/>
              <w:tabs>
                <w:tab w:val="clear" w:pos="720"/>
                <w:tab w:val="decimal" w:pos="1062" w:leader="none"/>
              </w:tabs>
              <w:rPr/>
            </w:pPr>
            <w:r>
              <w:rPr/>
            </w:r>
          </w:p>
          <w:p>
            <w:pPr>
              <w:pStyle w:val="Normal"/>
              <w:tabs>
                <w:tab w:val="clear" w:pos="720"/>
                <w:tab w:val="decimal" w:pos="1062" w:leader="none"/>
              </w:tabs>
              <w:rPr/>
            </w:pPr>
            <w:r>
              <w:rPr/>
            </w:r>
          </w:p>
          <w:p>
            <w:pPr>
              <w:pStyle w:val="Normal"/>
              <w:tabs>
                <w:tab w:val="clear" w:pos="720"/>
                <w:tab w:val="decimal" w:pos="1062" w:leader="none"/>
              </w:tabs>
              <w:rPr/>
            </w:pPr>
            <w:r>
              <w:rPr/>
            </w:r>
          </w:p>
          <w:p>
            <w:pPr>
              <w:pStyle w:val="Normal"/>
              <w:tabs>
                <w:tab w:val="clear" w:pos="720"/>
                <w:tab w:val="decimal" w:pos="1062" w:leader="none"/>
              </w:tabs>
              <w:rPr/>
            </w:pPr>
            <w:r>
              <w:rPr/>
              <w:t>504,300.32</w:t>
            </w:r>
          </w:p>
        </w:tc>
      </w:tr>
      <w:tr>
        <w:trPr/>
        <w:tc>
          <w:tcPr>
            <w:tcW w:w="6858" w:type="dxa"/>
            <w:tcBorders/>
          </w:tcPr>
          <w:p>
            <w:pPr>
              <w:pStyle w:val="Heading3"/>
              <w:keepNext w:val="false"/>
              <w:tabs>
                <w:tab w:val="clear" w:pos="900"/>
              </w:tabs>
              <w:snapToGrid w:val="false"/>
              <w:ind w:hanging="0" w:start="0"/>
              <w:rPr>
                <w:b w:val="false"/>
              </w:rPr>
            </w:pPr>
            <w:r>
              <w:rPr>
                <w:b w:val="false"/>
              </w:rPr>
            </w:r>
          </w:p>
          <w:p>
            <w:pPr>
              <w:pStyle w:val="Normal"/>
              <w:rPr/>
            </w:pPr>
            <w:r>
              <w:rPr/>
              <w:t>Cost of Gas – Intercompany – 50001500</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Heading3"/>
              <w:keepNext w:val="false"/>
              <w:ind w:hanging="900" w:start="900" w:end="0"/>
              <w:rPr>
                <w:b w:val="false"/>
              </w:rPr>
            </w:pPr>
            <w:r>
              <w:rPr>
                <w:b w:val="false"/>
              </w:rPr>
              <w:tab/>
              <w:t>May – Pending review by Purchaser</w:t>
            </w:r>
          </w:p>
        </w:tc>
        <w:tc>
          <w:tcPr>
            <w:tcW w:w="1710" w:type="dxa"/>
            <w:tcBorders/>
          </w:tcPr>
          <w:p>
            <w:pPr>
              <w:pStyle w:val="Normal"/>
              <w:tabs>
                <w:tab w:val="clear" w:pos="720"/>
                <w:tab w:val="decimal" w:pos="1062" w:leader="none"/>
              </w:tabs>
              <w:rPr/>
            </w:pPr>
            <w:r>
              <w:rPr/>
              <w:t>(847.45)</w:t>
            </w:r>
          </w:p>
        </w:tc>
      </w:tr>
      <w:tr>
        <w:trPr/>
        <w:tc>
          <w:tcPr>
            <w:tcW w:w="6858" w:type="dxa"/>
            <w:tcBorders/>
          </w:tcPr>
          <w:p>
            <w:pPr>
              <w:pStyle w:val="Heading3"/>
              <w:keepNext w:val="false"/>
              <w:ind w:hanging="900" w:start="900" w:end="0"/>
              <w:rPr>
                <w:b w:val="false"/>
              </w:rPr>
            </w:pPr>
            <w:r>
              <w:rPr>
                <w:b w:val="false"/>
              </w:rPr>
              <w:tab/>
              <w:t>June - Pending review by Purchaser</w:t>
            </w:r>
          </w:p>
        </w:tc>
        <w:tc>
          <w:tcPr>
            <w:tcW w:w="1710" w:type="dxa"/>
            <w:tcBorders/>
          </w:tcPr>
          <w:p>
            <w:pPr>
              <w:pStyle w:val="Normal"/>
              <w:tabs>
                <w:tab w:val="clear" w:pos="720"/>
                <w:tab w:val="decimal" w:pos="1062" w:leader="none"/>
              </w:tabs>
              <w:rPr/>
            </w:pPr>
            <w:r>
              <w:rPr/>
              <w:t>9,760.84</w:t>
            </w:r>
          </w:p>
        </w:tc>
      </w:tr>
      <w:tr>
        <w:trPr/>
        <w:tc>
          <w:tcPr>
            <w:tcW w:w="6858" w:type="dxa"/>
            <w:tcBorders/>
          </w:tcPr>
          <w:p>
            <w:pPr>
              <w:pStyle w:val="Heading3"/>
              <w:keepNext w:val="false"/>
              <w:ind w:hanging="900" w:start="900" w:end="0"/>
              <w:rPr>
                <w:b w:val="false"/>
              </w:rPr>
            </w:pPr>
            <w:r>
              <w:rPr>
                <w:b w:val="false"/>
              </w:rPr>
              <w:tab/>
              <w:t>July - Pending review by Purchaser</w:t>
            </w:r>
          </w:p>
        </w:tc>
        <w:tc>
          <w:tcPr>
            <w:tcW w:w="1710" w:type="dxa"/>
            <w:tcBorders/>
          </w:tcPr>
          <w:p>
            <w:pPr>
              <w:pStyle w:val="Normal"/>
              <w:tabs>
                <w:tab w:val="clear" w:pos="720"/>
                <w:tab w:val="decimal" w:pos="1062" w:leader="none"/>
              </w:tabs>
              <w:rPr/>
            </w:pPr>
            <w:r>
              <w:rPr/>
              <w:t>144,104.29</w:t>
            </w:r>
          </w:p>
        </w:tc>
      </w:tr>
      <w:tr>
        <w:trPr/>
        <w:tc>
          <w:tcPr>
            <w:tcW w:w="6858" w:type="dxa"/>
            <w:tcBorders/>
          </w:tcPr>
          <w:p>
            <w:pPr>
              <w:pStyle w:val="Heading3"/>
              <w:keepNext w:val="false"/>
              <w:ind w:hanging="0" w:start="0"/>
              <w:rPr>
                <w:b w:val="false"/>
              </w:rPr>
            </w:pPr>
            <w:r>
              <w:rPr>
                <w:b w:val="false"/>
              </w:rPr>
              <w:tab/>
              <w:t>August – paid by Purchaser</w:t>
            </w:r>
          </w:p>
        </w:tc>
        <w:tc>
          <w:tcPr>
            <w:tcW w:w="1710" w:type="dxa"/>
            <w:tcBorders/>
          </w:tcPr>
          <w:p>
            <w:pPr>
              <w:pStyle w:val="Normal"/>
              <w:tabs>
                <w:tab w:val="clear" w:pos="720"/>
                <w:tab w:val="decimal" w:pos="1062" w:leader="none"/>
              </w:tabs>
              <w:rPr/>
            </w:pPr>
            <w:r>
              <w:rPr/>
              <w:t>147,594.95</w:t>
            </w:r>
          </w:p>
        </w:tc>
      </w:tr>
      <w:tr>
        <w:trPr/>
        <w:tc>
          <w:tcPr>
            <w:tcW w:w="6858" w:type="dxa"/>
            <w:tcBorders/>
          </w:tcPr>
          <w:p>
            <w:pPr>
              <w:pStyle w:val="Heading3"/>
              <w:keepNext w:val="false"/>
              <w:ind w:hanging="900" w:start="900" w:end="0"/>
              <w:rPr>
                <w:b w:val="false"/>
              </w:rPr>
            </w:pPr>
            <w:r>
              <w:rPr>
                <w:b w:val="false"/>
              </w:rPr>
              <w:tab/>
              <w:t>September – Purchaser paid $60,113.93 of this amount.  Further review required on remainder of amount.</w:t>
            </w:r>
          </w:p>
        </w:tc>
        <w:tc>
          <w:tcPr>
            <w:tcW w:w="1710" w:type="dxa"/>
            <w:tcBorders/>
          </w:tcPr>
          <w:p>
            <w:pPr>
              <w:pStyle w:val="Normal"/>
              <w:tabs>
                <w:tab w:val="clear" w:pos="720"/>
                <w:tab w:val="decimal" w:pos="1062" w:leader="none"/>
              </w:tabs>
              <w:snapToGrid w:val="false"/>
              <w:rPr>
                <w:b w:val="false"/>
              </w:rPr>
            </w:pPr>
            <w:r>
              <w:rPr>
                <w:b w:val="false"/>
              </w:rPr>
            </w:r>
          </w:p>
          <w:p>
            <w:pPr>
              <w:pStyle w:val="Normal"/>
              <w:tabs>
                <w:tab w:val="clear" w:pos="720"/>
                <w:tab w:val="decimal" w:pos="1062" w:leader="none"/>
              </w:tabs>
              <w:rPr/>
            </w:pPr>
            <w:r>
              <w:rPr/>
              <w:t>161,436.42</w:t>
            </w:r>
          </w:p>
        </w:tc>
      </w:tr>
      <w:tr>
        <w:trPr/>
        <w:tc>
          <w:tcPr>
            <w:tcW w:w="6858" w:type="dxa"/>
            <w:tcBorders/>
          </w:tcPr>
          <w:p>
            <w:pPr>
              <w:pStyle w:val="Heading3"/>
              <w:keepNext w:val="false"/>
              <w:snapToGrid w:val="false"/>
              <w:ind w:hanging="900" w:start="900" w:end="0"/>
              <w:rPr>
                <w:b w:val="false"/>
              </w:rPr>
            </w:pPr>
            <w:r>
              <w:rPr>
                <w:b w:val="false"/>
              </w:rPr>
            </w:r>
          </w:p>
        </w:tc>
        <w:tc>
          <w:tcPr>
            <w:tcW w:w="1710" w:type="dxa"/>
            <w:tcBorders/>
          </w:tcPr>
          <w:p>
            <w:pPr>
              <w:pStyle w:val="Normal"/>
              <w:tabs>
                <w:tab w:val="clear" w:pos="720"/>
                <w:tab w:val="decimal" w:pos="1062" w:leader="none"/>
              </w:tabs>
              <w:snapToGrid w:val="false"/>
              <w:rPr>
                <w:b w:val="false"/>
              </w:rPr>
            </w:pPr>
            <w:r>
              <w:rPr>
                <w:b w:val="false"/>
              </w:rPr>
            </w:r>
          </w:p>
        </w:tc>
      </w:tr>
    </w:tbl>
    <w:p>
      <w:pPr>
        <w:pStyle w:val="Normal"/>
        <w:rPr/>
      </w:pPr>
      <w:r>
        <w:rPr/>
      </w:r>
      <w:r>
        <w:br w:type="page"/>
      </w:r>
    </w:p>
    <w:p>
      <w:pPr>
        <w:pStyle w:val="Normal"/>
        <w:rPr/>
      </w:pPr>
      <w:r>
        <w:rPr/>
        <w:t>Memo to Karry Kendall</w:t>
      </w:r>
    </w:p>
    <w:p>
      <w:pPr>
        <w:pStyle w:val="Normal"/>
        <w:rPr/>
      </w:pPr>
      <w:r>
        <w:rPr/>
        <w:t>December 28, 2000</w:t>
      </w:r>
    </w:p>
    <w:p>
      <w:pPr>
        <w:pStyle w:val="Normal"/>
        <w:rPr/>
      </w:pPr>
      <w:r>
        <w:rPr/>
        <w:t>Page Two</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6858"/>
        <w:gridCol w:w="1710"/>
      </w:tblGrid>
      <w:tr>
        <w:trPr/>
        <w:tc>
          <w:tcPr>
            <w:tcW w:w="6858" w:type="dxa"/>
            <w:tcBorders/>
          </w:tcPr>
          <w:p>
            <w:pPr>
              <w:pStyle w:val="Heading3"/>
              <w:keepNext w:val="false"/>
              <w:tabs>
                <w:tab w:val="clear" w:pos="900"/>
              </w:tabs>
              <w:ind w:hanging="0" w:start="0"/>
              <w:rPr>
                <w:b w:val="false"/>
              </w:rPr>
            </w:pPr>
            <w:r>
              <w:rPr>
                <w:b w:val="false"/>
              </w:rPr>
              <w:t>The Purchaser reserves its rights regarding the following amounts pending discussions with the Seller:</w:t>
            </w:r>
          </w:p>
        </w:tc>
        <w:tc>
          <w:tcPr>
            <w:tcW w:w="1710" w:type="dxa"/>
            <w:tcBorders/>
          </w:tcPr>
          <w:p>
            <w:pPr>
              <w:pStyle w:val="Normal"/>
              <w:tabs>
                <w:tab w:val="clear" w:pos="720"/>
                <w:tab w:val="decimal" w:pos="1062" w:leader="none"/>
              </w:tabs>
              <w:snapToGrid w:val="false"/>
              <w:rPr>
                <w:b w:val="false"/>
              </w:rPr>
            </w:pPr>
            <w:r>
              <w:rPr>
                <w:b w:val="false"/>
              </w:rPr>
            </w:r>
          </w:p>
        </w:tc>
      </w:tr>
      <w:tr>
        <w:trPr/>
        <w:tc>
          <w:tcPr>
            <w:tcW w:w="6858" w:type="dxa"/>
            <w:tcBorders/>
          </w:tcPr>
          <w:p>
            <w:pPr>
              <w:pStyle w:val="Heading3"/>
              <w:keepNext w:val="false"/>
              <w:snapToGrid w:val="false"/>
              <w:ind w:hanging="900" w:start="900" w:end="0"/>
              <w:rPr>
                <w:b w:val="false"/>
              </w:rPr>
            </w:pPr>
            <w:r>
              <w:rPr>
                <w:b w:val="false"/>
              </w:rPr>
            </w:r>
          </w:p>
        </w:tc>
        <w:tc>
          <w:tcPr>
            <w:tcW w:w="1710" w:type="dxa"/>
            <w:tcBorders/>
          </w:tcPr>
          <w:p>
            <w:pPr>
              <w:pStyle w:val="Normal"/>
              <w:tabs>
                <w:tab w:val="clear" w:pos="720"/>
                <w:tab w:val="decimal" w:pos="1062" w:leader="none"/>
              </w:tabs>
              <w:snapToGrid w:val="false"/>
              <w:rPr>
                <w:b w:val="false"/>
              </w:rPr>
            </w:pPr>
            <w:r>
              <w:rPr>
                <w:b w:val="false"/>
              </w:rPr>
            </w:r>
          </w:p>
        </w:tc>
      </w:tr>
      <w:tr>
        <w:trPr/>
        <w:tc>
          <w:tcPr>
            <w:tcW w:w="6858" w:type="dxa"/>
            <w:tcBorders/>
          </w:tcPr>
          <w:p>
            <w:pPr>
              <w:pStyle w:val="Heading3"/>
              <w:keepNext w:val="false"/>
              <w:ind w:hanging="0" w:start="0"/>
              <w:rPr>
                <w:b w:val="false"/>
              </w:rPr>
            </w:pPr>
            <w:r>
              <w:rPr>
                <w:b w:val="false"/>
              </w:rPr>
              <w:tab/>
              <w:t>Exchange Gas – Third Party – 50001040</w:t>
            </w:r>
          </w:p>
        </w:tc>
        <w:tc>
          <w:tcPr>
            <w:tcW w:w="1710" w:type="dxa"/>
            <w:tcBorders/>
          </w:tcPr>
          <w:p>
            <w:pPr>
              <w:pStyle w:val="Normal"/>
              <w:tabs>
                <w:tab w:val="clear" w:pos="720"/>
                <w:tab w:val="decimal" w:pos="1062" w:leader="none"/>
              </w:tabs>
              <w:rPr/>
            </w:pPr>
            <w:r>
              <w:rPr/>
              <w:t>(44,771.69)</w:t>
            </w:r>
          </w:p>
        </w:tc>
      </w:tr>
      <w:tr>
        <w:trPr/>
        <w:tc>
          <w:tcPr>
            <w:tcW w:w="6858" w:type="dxa"/>
            <w:tcBorders/>
          </w:tcPr>
          <w:p>
            <w:pPr>
              <w:pStyle w:val="Normal"/>
              <w:tabs>
                <w:tab w:val="clear" w:pos="720"/>
                <w:tab w:val="left" w:pos="900" w:leader="none"/>
              </w:tabs>
              <w:rPr/>
            </w:pPr>
            <w:r>
              <w:rPr/>
              <w:tab/>
              <w:t>Cost of Gas – Compressor Fuel Credit - 5001070</w:t>
            </w:r>
          </w:p>
        </w:tc>
        <w:tc>
          <w:tcPr>
            <w:tcW w:w="1710" w:type="dxa"/>
            <w:tcBorders/>
          </w:tcPr>
          <w:p>
            <w:pPr>
              <w:pStyle w:val="Normal"/>
              <w:tabs>
                <w:tab w:val="clear" w:pos="720"/>
                <w:tab w:val="decimal" w:pos="1062" w:leader="none"/>
              </w:tabs>
              <w:rPr/>
            </w:pPr>
            <w:r>
              <w:rPr/>
              <w:t>(360,943.78)</w:t>
            </w:r>
          </w:p>
        </w:tc>
      </w:tr>
      <w:tr>
        <w:trPr/>
        <w:tc>
          <w:tcPr>
            <w:tcW w:w="6858" w:type="dxa"/>
            <w:tcBorders/>
          </w:tcPr>
          <w:p>
            <w:pPr>
              <w:pStyle w:val="Normal"/>
              <w:tabs>
                <w:tab w:val="clear" w:pos="720"/>
                <w:tab w:val="left" w:pos="900" w:leader="none"/>
              </w:tabs>
              <w:rPr/>
            </w:pPr>
            <w:r>
              <w:rPr/>
              <w:tab/>
              <w:t>Compressor Fuel – Gas – 50001760</w:t>
            </w:r>
          </w:p>
        </w:tc>
        <w:tc>
          <w:tcPr>
            <w:tcW w:w="1710" w:type="dxa"/>
            <w:tcBorders/>
          </w:tcPr>
          <w:p>
            <w:pPr>
              <w:pStyle w:val="Normal"/>
              <w:tabs>
                <w:tab w:val="clear" w:pos="720"/>
                <w:tab w:val="decimal" w:pos="1062" w:leader="none"/>
              </w:tabs>
              <w:rPr/>
            </w:pPr>
            <w:r>
              <w:rPr/>
              <w:t>360,943.78</w:t>
            </w:r>
          </w:p>
        </w:tc>
      </w:tr>
      <w:tr>
        <w:trPr/>
        <w:tc>
          <w:tcPr>
            <w:tcW w:w="6858" w:type="dxa"/>
            <w:tcBorders/>
          </w:tcPr>
          <w:p>
            <w:pPr>
              <w:pStyle w:val="Heading3"/>
              <w:keepNext w:val="false"/>
              <w:ind w:hanging="0" w:start="0"/>
              <w:rPr>
                <w:b w:val="false"/>
              </w:rPr>
            </w:pPr>
            <w:r>
              <w:rPr>
                <w:b w:val="false"/>
              </w:rPr>
              <w:tab/>
              <w:t>Westport Imbalance</w:t>
            </w:r>
          </w:p>
        </w:tc>
        <w:tc>
          <w:tcPr>
            <w:tcW w:w="1710" w:type="dxa"/>
            <w:tcBorders/>
          </w:tcPr>
          <w:p>
            <w:pPr>
              <w:pStyle w:val="Normal"/>
              <w:tabs>
                <w:tab w:val="clear" w:pos="720"/>
                <w:tab w:val="decimal" w:pos="1062" w:leader="none"/>
              </w:tabs>
              <w:rPr/>
            </w:pPr>
            <w:r>
              <w:rPr/>
              <w:t>44,771.69</w:t>
            </w:r>
          </w:p>
        </w:tc>
      </w:tr>
      <w:tr>
        <w:trPr/>
        <w:tc>
          <w:tcPr>
            <w:tcW w:w="6858" w:type="dxa"/>
            <w:tcBorders/>
          </w:tcPr>
          <w:p>
            <w:pPr>
              <w:pStyle w:val="Normal"/>
              <w:tabs>
                <w:tab w:val="clear" w:pos="720"/>
                <w:tab w:val="left" w:pos="900" w:leader="none"/>
              </w:tabs>
              <w:snapToGrid w:val="false"/>
              <w:rPr/>
            </w:pPr>
            <w:r>
              <w:rPr/>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Normal"/>
              <w:tabs>
                <w:tab w:val="clear" w:pos="720"/>
                <w:tab w:val="left" w:pos="900" w:leader="none"/>
              </w:tabs>
              <w:rPr/>
            </w:pPr>
            <w:r>
              <w:rPr/>
              <w:t>Items do not meet definitions of Purchase Agreement:</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Normal"/>
              <w:tabs>
                <w:tab w:val="clear" w:pos="720"/>
                <w:tab w:val="left" w:pos="900" w:leader="none"/>
              </w:tabs>
              <w:snapToGrid w:val="false"/>
              <w:rPr/>
            </w:pPr>
            <w:r>
              <w:rPr/>
            </w:r>
          </w:p>
          <w:p>
            <w:pPr>
              <w:pStyle w:val="Heading3"/>
              <w:keepNext w:val="false"/>
              <w:ind w:hanging="0" w:start="0"/>
              <w:rPr/>
            </w:pPr>
            <w:r>
              <w:rPr/>
              <w:t>Increase in Accounts Receivable – Third Party</w:t>
            </w:r>
          </w:p>
        </w:tc>
        <w:tc>
          <w:tcPr>
            <w:tcW w:w="1710" w:type="dxa"/>
            <w:tcBorders/>
          </w:tcPr>
          <w:p>
            <w:pPr>
              <w:pStyle w:val="Normal"/>
              <w:tabs>
                <w:tab w:val="clear" w:pos="720"/>
                <w:tab w:val="decimal" w:pos="1062" w:leader="none"/>
              </w:tabs>
              <w:snapToGrid w:val="false"/>
              <w:rPr/>
            </w:pPr>
            <w:r>
              <w:rPr/>
            </w:r>
          </w:p>
          <w:p>
            <w:pPr>
              <w:pStyle w:val="Normal"/>
              <w:tabs>
                <w:tab w:val="clear" w:pos="720"/>
                <w:tab w:val="decimal" w:pos="1062" w:leader="none"/>
              </w:tabs>
              <w:rPr/>
            </w:pPr>
            <w:r>
              <w:rPr/>
              <w:t>159,586.74</w:t>
            </w:r>
          </w:p>
        </w:tc>
      </w:tr>
      <w:tr>
        <w:trPr/>
        <w:tc>
          <w:tcPr>
            <w:tcW w:w="6858" w:type="dxa"/>
            <w:tcBorders/>
          </w:tcPr>
          <w:p>
            <w:pPr>
              <w:pStyle w:val="Heading3"/>
              <w:keepNext w:val="false"/>
              <w:ind w:hanging="0" w:start="0"/>
              <w:rPr/>
            </w:pPr>
            <w:r>
              <w:rPr/>
              <w:t>Net Third Party Payable Increases</w:t>
            </w:r>
          </w:p>
        </w:tc>
        <w:tc>
          <w:tcPr>
            <w:tcW w:w="1710" w:type="dxa"/>
            <w:tcBorders/>
          </w:tcPr>
          <w:p>
            <w:pPr>
              <w:pStyle w:val="Normal"/>
              <w:tabs>
                <w:tab w:val="clear" w:pos="720"/>
                <w:tab w:val="decimal" w:pos="1062" w:leader="none"/>
              </w:tabs>
              <w:rPr/>
            </w:pPr>
            <w:r>
              <w:rPr/>
              <w:t>277.12</w:t>
            </w:r>
          </w:p>
        </w:tc>
      </w:tr>
      <w:tr>
        <w:trPr/>
        <w:tc>
          <w:tcPr>
            <w:tcW w:w="6858" w:type="dxa"/>
            <w:tcBorders/>
          </w:tcPr>
          <w:p>
            <w:pPr>
              <w:pStyle w:val="Heading3"/>
              <w:keepNext w:val="false"/>
              <w:ind w:hanging="0" w:start="0"/>
              <w:rPr/>
            </w:pPr>
            <w:r>
              <w:rPr/>
              <w:t>Accrual Liabilities Increased</w:t>
            </w:r>
          </w:p>
        </w:tc>
        <w:tc>
          <w:tcPr>
            <w:tcW w:w="1710" w:type="dxa"/>
            <w:tcBorders/>
          </w:tcPr>
          <w:p>
            <w:pPr>
              <w:pStyle w:val="Normal"/>
              <w:tabs>
                <w:tab w:val="clear" w:pos="720"/>
                <w:tab w:val="decimal" w:pos="1062" w:leader="none"/>
              </w:tabs>
              <w:rPr/>
            </w:pPr>
            <w:r>
              <w:rPr/>
              <w:t>(2,116.24)</w:t>
            </w:r>
          </w:p>
        </w:tc>
      </w:tr>
      <w:tr>
        <w:trPr/>
        <w:tc>
          <w:tcPr>
            <w:tcW w:w="6858" w:type="dxa"/>
            <w:tcBorders/>
          </w:tcPr>
          <w:p>
            <w:pPr>
              <w:pStyle w:val="Heading3"/>
              <w:keepNext w:val="false"/>
              <w:snapToGrid w:val="false"/>
              <w:ind w:hanging="900" w:start="900" w:end="0"/>
              <w:rPr>
                <w:b w:val="false"/>
              </w:rPr>
            </w:pPr>
            <w:r>
              <w:rPr>
                <w:b w:val="false"/>
              </w:rPr>
            </w:r>
          </w:p>
        </w:tc>
        <w:tc>
          <w:tcPr>
            <w:tcW w:w="1710" w:type="dxa"/>
            <w:tcBorders/>
          </w:tcPr>
          <w:p>
            <w:pPr>
              <w:pStyle w:val="Normal"/>
              <w:tabs>
                <w:tab w:val="clear" w:pos="720"/>
                <w:tab w:val="decimal" w:pos="1062" w:leader="none"/>
              </w:tabs>
              <w:snapToGrid w:val="false"/>
              <w:rPr>
                <w:b w:val="false"/>
              </w:rPr>
            </w:pPr>
            <w:r>
              <w:rPr>
                <w:b w:val="false"/>
              </w:rPr>
            </w:r>
          </w:p>
        </w:tc>
      </w:tr>
      <w:tr>
        <w:trPr/>
        <w:tc>
          <w:tcPr>
            <w:tcW w:w="6858" w:type="dxa"/>
            <w:tcBorders/>
          </w:tcPr>
          <w:p>
            <w:pPr>
              <w:pStyle w:val="Heading3"/>
              <w:keepNext w:val="false"/>
              <w:ind w:hanging="900" w:start="900" w:end="0"/>
              <w:rPr/>
            </w:pPr>
            <w:r>
              <w:rPr/>
              <w:t>Capital Expenditures</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Heading3"/>
              <w:keepNext w:val="false"/>
              <w:ind w:hanging="0" w:start="0"/>
              <w:rPr>
                <w:b w:val="false"/>
              </w:rPr>
            </w:pPr>
            <w:r>
              <w:rPr>
                <w:b w:val="false"/>
              </w:rPr>
              <w:t>Incorrectly accrued use tax.  This amount supplied by Karry Kendall.</w:t>
            </w:r>
          </w:p>
        </w:tc>
        <w:tc>
          <w:tcPr>
            <w:tcW w:w="1710" w:type="dxa"/>
            <w:tcBorders/>
          </w:tcPr>
          <w:p>
            <w:pPr>
              <w:pStyle w:val="Normal"/>
              <w:tabs>
                <w:tab w:val="clear" w:pos="720"/>
                <w:tab w:val="decimal" w:pos="1062" w:leader="none"/>
              </w:tabs>
              <w:rPr/>
            </w:pPr>
            <w:r>
              <w:rPr/>
              <w:t>198,874.55</w:t>
            </w:r>
          </w:p>
        </w:tc>
      </w:tr>
      <w:tr>
        <w:trPr/>
        <w:tc>
          <w:tcPr>
            <w:tcW w:w="6858" w:type="dxa"/>
            <w:tcBorders/>
          </w:tcPr>
          <w:p>
            <w:pPr>
              <w:pStyle w:val="Heading3"/>
              <w:keepNext w:val="false"/>
              <w:snapToGrid w:val="false"/>
              <w:ind w:hanging="0" w:start="0"/>
              <w:rPr>
                <w:b w:val="false"/>
              </w:rPr>
            </w:pPr>
            <w:r>
              <w:rPr>
                <w:b w:val="false"/>
              </w:rPr>
            </w:r>
          </w:p>
          <w:p>
            <w:pPr>
              <w:pStyle w:val="Normal"/>
              <w:rPr/>
            </w:pPr>
            <w:r>
              <w:rPr/>
              <w:t>Schedule B attached.  The amounts per this schedule do not meet the definition of Cash Disbursements per the Purchase Agreement.  The Purchaser reserves the right to adjustments on the remaining balance of  $4,725,681.26 of this category pending further detail review.</w:t>
            </w:r>
          </w:p>
        </w:tc>
        <w:tc>
          <w:tcPr>
            <w:tcW w:w="1710" w:type="dxa"/>
            <w:tcBorders/>
          </w:tcPr>
          <w:p>
            <w:pPr>
              <w:pStyle w:val="Normal"/>
              <w:tabs>
                <w:tab w:val="clear" w:pos="720"/>
                <w:tab w:val="decimal" w:pos="1062" w:leader="none"/>
              </w:tabs>
              <w:snapToGrid w:val="false"/>
              <w:rPr/>
            </w:pPr>
            <w:r>
              <w:rPr/>
            </w:r>
          </w:p>
          <w:p>
            <w:pPr>
              <w:pStyle w:val="Normal"/>
              <w:tabs>
                <w:tab w:val="clear" w:pos="720"/>
                <w:tab w:val="decimal" w:pos="1062" w:leader="none"/>
              </w:tabs>
              <w:rPr/>
            </w:pPr>
            <w:r>
              <w:rPr/>
            </w:r>
          </w:p>
          <w:p>
            <w:pPr>
              <w:pStyle w:val="Normal"/>
              <w:tabs>
                <w:tab w:val="clear" w:pos="720"/>
                <w:tab w:val="decimal" w:pos="1062" w:leader="none"/>
              </w:tabs>
              <w:rPr/>
            </w:pPr>
            <w:r>
              <w:rPr/>
            </w:r>
          </w:p>
          <w:p>
            <w:pPr>
              <w:pStyle w:val="Normal"/>
              <w:tabs>
                <w:tab w:val="clear" w:pos="720"/>
                <w:tab w:val="decimal" w:pos="1062" w:leader="none"/>
              </w:tabs>
              <w:rPr/>
            </w:pPr>
            <w:r>
              <w:rPr/>
            </w:r>
          </w:p>
          <w:p>
            <w:pPr>
              <w:pStyle w:val="Normal"/>
              <w:tabs>
                <w:tab w:val="clear" w:pos="720"/>
                <w:tab w:val="decimal" w:pos="1062" w:leader="none"/>
              </w:tabs>
              <w:rPr/>
            </w:pPr>
            <w:r>
              <w:rPr/>
              <w:t>1,527,697.45</w:t>
            </w:r>
          </w:p>
        </w:tc>
      </w:tr>
      <w:tr>
        <w:trPr/>
        <w:tc>
          <w:tcPr>
            <w:tcW w:w="6858" w:type="dxa"/>
            <w:tcBorders/>
          </w:tcPr>
          <w:p>
            <w:pPr>
              <w:pStyle w:val="Heading3"/>
              <w:keepNext w:val="false"/>
              <w:snapToGrid w:val="false"/>
              <w:ind w:hanging="0" w:start="0"/>
              <w:rPr>
                <w:b w:val="false"/>
              </w:rPr>
            </w:pPr>
            <w:r>
              <w:rPr>
                <w:b w:val="false"/>
              </w:rPr>
            </w:r>
          </w:p>
          <w:p>
            <w:pPr>
              <w:pStyle w:val="Normal"/>
              <w:rPr/>
            </w:pPr>
            <w:r>
              <w:rPr/>
              <w:t>Supporting schedules do not agree to summary schedule.</w:t>
            </w:r>
          </w:p>
        </w:tc>
        <w:tc>
          <w:tcPr>
            <w:tcW w:w="1710" w:type="dxa"/>
            <w:tcBorders/>
          </w:tcPr>
          <w:p>
            <w:pPr>
              <w:pStyle w:val="Normal"/>
              <w:tabs>
                <w:tab w:val="clear" w:pos="720"/>
                <w:tab w:val="decimal" w:pos="1062" w:leader="none"/>
              </w:tabs>
              <w:snapToGrid w:val="false"/>
              <w:rPr/>
            </w:pPr>
            <w:r>
              <w:rPr/>
            </w:r>
          </w:p>
          <w:p>
            <w:pPr>
              <w:pStyle w:val="Normal"/>
              <w:tabs>
                <w:tab w:val="clear" w:pos="720"/>
                <w:tab w:val="decimal" w:pos="1062" w:leader="none"/>
              </w:tabs>
              <w:rPr/>
            </w:pPr>
            <w:r>
              <w:rPr/>
              <w:t>10,667.13</w:t>
            </w:r>
          </w:p>
        </w:tc>
      </w:tr>
      <w:tr>
        <w:trPr/>
        <w:tc>
          <w:tcPr>
            <w:tcW w:w="6858" w:type="dxa"/>
            <w:tcBorders/>
          </w:tcPr>
          <w:p>
            <w:pPr>
              <w:pStyle w:val="Heading3"/>
              <w:keepNext w:val="false"/>
              <w:snapToGrid w:val="false"/>
              <w:ind w:hanging="0" w:start="0"/>
              <w:rPr>
                <w:b w:val="false"/>
              </w:rPr>
            </w:pPr>
            <w:r>
              <w:rPr>
                <w:b w:val="false"/>
              </w:rPr>
            </w:r>
          </w:p>
        </w:tc>
        <w:tc>
          <w:tcPr>
            <w:tcW w:w="1710" w:type="dxa"/>
            <w:tcBorders/>
          </w:tcPr>
          <w:p>
            <w:pPr>
              <w:pStyle w:val="Normal"/>
              <w:tabs>
                <w:tab w:val="clear" w:pos="720"/>
                <w:tab w:val="decimal" w:pos="1062" w:leader="none"/>
              </w:tabs>
              <w:snapToGrid w:val="false"/>
              <w:rPr>
                <w:b w:val="false"/>
              </w:rPr>
            </w:pPr>
            <w:r>
              <w:rPr>
                <w:b w:val="false"/>
              </w:rPr>
            </w:r>
          </w:p>
        </w:tc>
      </w:tr>
      <w:tr>
        <w:trPr/>
        <w:tc>
          <w:tcPr>
            <w:tcW w:w="6858" w:type="dxa"/>
            <w:tcBorders/>
          </w:tcPr>
          <w:p>
            <w:pPr>
              <w:pStyle w:val="Heading3"/>
              <w:keepNext w:val="false"/>
              <w:tabs>
                <w:tab w:val="clear" w:pos="900"/>
              </w:tabs>
              <w:ind w:hanging="0" w:start="0"/>
              <w:rPr/>
            </w:pPr>
            <w:r>
              <w:rPr/>
              <w:t>Gathering Fee due Enron</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Heading3"/>
              <w:keepNext w:val="false"/>
              <w:snapToGrid w:val="false"/>
              <w:ind w:hanging="0" w:start="0"/>
              <w:rPr>
                <w:b w:val="false"/>
              </w:rPr>
            </w:pPr>
            <w:r>
              <w:rPr>
                <w:b w:val="false"/>
              </w:rPr>
            </w:r>
          </w:p>
          <w:p>
            <w:pPr>
              <w:pStyle w:val="Normal"/>
              <w:rPr/>
            </w:pPr>
            <w:r>
              <w:rPr/>
              <w:t>All amounts subject to adjustment pending receipt of detail and review by Purchaser:</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Normal"/>
              <w:tabs>
                <w:tab w:val="clear" w:pos="720"/>
                <w:tab w:val="left" w:pos="900" w:leader="none"/>
              </w:tabs>
              <w:rPr/>
            </w:pPr>
            <w:r>
              <w:rPr/>
              <w:tab/>
              <w:t>July</w:t>
            </w:r>
          </w:p>
        </w:tc>
        <w:tc>
          <w:tcPr>
            <w:tcW w:w="1710" w:type="dxa"/>
            <w:tcBorders/>
          </w:tcPr>
          <w:p>
            <w:pPr>
              <w:pStyle w:val="Normal"/>
              <w:tabs>
                <w:tab w:val="clear" w:pos="720"/>
                <w:tab w:val="decimal" w:pos="1062" w:leader="none"/>
              </w:tabs>
              <w:rPr/>
            </w:pPr>
            <w:r>
              <w:rPr/>
              <w:t>251,159.86</w:t>
            </w:r>
          </w:p>
        </w:tc>
      </w:tr>
      <w:tr>
        <w:trPr/>
        <w:tc>
          <w:tcPr>
            <w:tcW w:w="6858" w:type="dxa"/>
            <w:tcBorders/>
          </w:tcPr>
          <w:p>
            <w:pPr>
              <w:pStyle w:val="Heading3"/>
              <w:keepNext w:val="false"/>
              <w:ind w:hanging="0" w:start="0"/>
              <w:rPr>
                <w:b w:val="false"/>
              </w:rPr>
            </w:pPr>
            <w:r>
              <w:rPr>
                <w:b w:val="false"/>
              </w:rPr>
              <w:tab/>
              <w:t>August</w:t>
            </w:r>
          </w:p>
        </w:tc>
        <w:tc>
          <w:tcPr>
            <w:tcW w:w="1710" w:type="dxa"/>
            <w:tcBorders/>
          </w:tcPr>
          <w:p>
            <w:pPr>
              <w:pStyle w:val="Normal"/>
              <w:tabs>
                <w:tab w:val="clear" w:pos="720"/>
                <w:tab w:val="decimal" w:pos="1062" w:leader="none"/>
              </w:tabs>
              <w:rPr/>
            </w:pPr>
            <w:r>
              <w:rPr/>
              <w:t>234,509.31</w:t>
            </w:r>
          </w:p>
        </w:tc>
      </w:tr>
      <w:tr>
        <w:trPr/>
        <w:tc>
          <w:tcPr>
            <w:tcW w:w="6858" w:type="dxa"/>
            <w:tcBorders/>
          </w:tcPr>
          <w:p>
            <w:pPr>
              <w:pStyle w:val="Heading3"/>
              <w:keepNext w:val="false"/>
              <w:ind w:hanging="0" w:start="0"/>
              <w:rPr>
                <w:b w:val="false"/>
              </w:rPr>
            </w:pPr>
            <w:r>
              <w:rPr>
                <w:b w:val="false"/>
              </w:rPr>
              <w:tab/>
              <w:t>September</w:t>
            </w:r>
          </w:p>
        </w:tc>
        <w:tc>
          <w:tcPr>
            <w:tcW w:w="1710" w:type="dxa"/>
            <w:tcBorders/>
          </w:tcPr>
          <w:p>
            <w:pPr>
              <w:pStyle w:val="Normal"/>
              <w:tabs>
                <w:tab w:val="clear" w:pos="720"/>
                <w:tab w:val="decimal" w:pos="1062" w:leader="none"/>
              </w:tabs>
              <w:rPr/>
            </w:pPr>
            <w:r>
              <w:rPr/>
              <w:t>198,284.86</w:t>
            </w:r>
          </w:p>
        </w:tc>
      </w:tr>
      <w:tr>
        <w:trPr/>
        <w:tc>
          <w:tcPr>
            <w:tcW w:w="6858" w:type="dxa"/>
            <w:tcBorders/>
          </w:tcPr>
          <w:p>
            <w:pPr>
              <w:pStyle w:val="Heading3"/>
              <w:keepNext w:val="false"/>
              <w:snapToGrid w:val="false"/>
              <w:ind w:hanging="0" w:start="0"/>
              <w:rPr>
                <w:b w:val="false"/>
              </w:rPr>
            </w:pPr>
            <w:r>
              <w:rPr>
                <w:b w:val="false"/>
              </w:rPr>
            </w:r>
          </w:p>
        </w:tc>
        <w:tc>
          <w:tcPr>
            <w:tcW w:w="1710" w:type="dxa"/>
            <w:tcBorders/>
          </w:tcPr>
          <w:p>
            <w:pPr>
              <w:pStyle w:val="Normal"/>
              <w:tabs>
                <w:tab w:val="clear" w:pos="720"/>
                <w:tab w:val="decimal" w:pos="1062" w:leader="none"/>
              </w:tabs>
              <w:snapToGrid w:val="false"/>
              <w:rPr>
                <w:b w:val="false"/>
              </w:rPr>
            </w:pPr>
            <w:r>
              <w:rPr>
                <w:b w:val="false"/>
              </w:rPr>
            </w:r>
          </w:p>
        </w:tc>
      </w:tr>
      <w:tr>
        <w:trPr/>
        <w:tc>
          <w:tcPr>
            <w:tcW w:w="6858" w:type="dxa"/>
            <w:tcBorders/>
          </w:tcPr>
          <w:p>
            <w:pPr>
              <w:pStyle w:val="Heading3"/>
              <w:keepNext w:val="false"/>
              <w:ind w:hanging="0" w:start="0"/>
              <w:rPr/>
            </w:pPr>
            <w:r>
              <w:rPr/>
              <w:t>Denver Office Costs due Enron</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Heading3"/>
              <w:keepNext w:val="false"/>
              <w:snapToGrid w:val="false"/>
              <w:ind w:hanging="0" w:start="0"/>
              <w:rPr>
                <w:b w:val="false"/>
              </w:rPr>
            </w:pPr>
            <w:r>
              <w:rPr>
                <w:b w:val="false"/>
              </w:rPr>
            </w:r>
          </w:p>
          <w:p>
            <w:pPr>
              <w:pStyle w:val="Normal"/>
              <w:rPr/>
            </w:pPr>
            <w:r>
              <w:rPr/>
              <w:t>All amounts subject to adjustment pending detail review by Purchaser:</w:t>
            </w:r>
          </w:p>
        </w:tc>
        <w:tc>
          <w:tcPr>
            <w:tcW w:w="1710" w:type="dxa"/>
            <w:tcBorders/>
          </w:tcPr>
          <w:p>
            <w:pPr>
              <w:pStyle w:val="Normal"/>
              <w:tabs>
                <w:tab w:val="clear" w:pos="720"/>
                <w:tab w:val="decimal" w:pos="1062" w:leader="none"/>
              </w:tabs>
              <w:snapToGrid w:val="false"/>
              <w:rPr/>
            </w:pPr>
            <w:r>
              <w:rPr/>
            </w:r>
          </w:p>
        </w:tc>
      </w:tr>
      <w:tr>
        <w:trPr/>
        <w:tc>
          <w:tcPr>
            <w:tcW w:w="6858" w:type="dxa"/>
            <w:tcBorders/>
          </w:tcPr>
          <w:p>
            <w:pPr>
              <w:pStyle w:val="Heading3"/>
              <w:keepNext w:val="false"/>
              <w:ind w:hanging="0" w:start="0"/>
              <w:rPr>
                <w:b w:val="false"/>
              </w:rPr>
            </w:pPr>
            <w:r>
              <w:rPr>
                <w:b w:val="false"/>
              </w:rPr>
              <w:tab/>
              <w:t>July</w:t>
            </w:r>
          </w:p>
        </w:tc>
        <w:tc>
          <w:tcPr>
            <w:tcW w:w="1710" w:type="dxa"/>
            <w:tcBorders/>
          </w:tcPr>
          <w:p>
            <w:pPr>
              <w:pStyle w:val="Normal"/>
              <w:tabs>
                <w:tab w:val="clear" w:pos="720"/>
                <w:tab w:val="decimal" w:pos="1062" w:leader="none"/>
              </w:tabs>
              <w:rPr/>
            </w:pPr>
            <w:r>
              <w:rPr/>
              <w:t>87,399.74</w:t>
            </w:r>
          </w:p>
        </w:tc>
      </w:tr>
      <w:tr>
        <w:trPr/>
        <w:tc>
          <w:tcPr>
            <w:tcW w:w="6858" w:type="dxa"/>
            <w:tcBorders/>
          </w:tcPr>
          <w:p>
            <w:pPr>
              <w:pStyle w:val="Heading3"/>
              <w:keepNext w:val="false"/>
              <w:ind w:hanging="0" w:start="0"/>
              <w:rPr>
                <w:b w:val="false"/>
              </w:rPr>
            </w:pPr>
            <w:r>
              <w:rPr>
                <w:b w:val="false"/>
              </w:rPr>
              <w:tab/>
              <w:t>August</w:t>
            </w:r>
          </w:p>
        </w:tc>
        <w:tc>
          <w:tcPr>
            <w:tcW w:w="1710" w:type="dxa"/>
            <w:tcBorders/>
          </w:tcPr>
          <w:p>
            <w:pPr>
              <w:pStyle w:val="Normal"/>
              <w:tabs>
                <w:tab w:val="clear" w:pos="720"/>
                <w:tab w:val="decimal" w:pos="1062" w:leader="none"/>
              </w:tabs>
              <w:rPr/>
            </w:pPr>
            <w:r>
              <w:rPr/>
              <w:t>148,524.82</w:t>
            </w:r>
          </w:p>
        </w:tc>
      </w:tr>
      <w:tr>
        <w:trPr/>
        <w:tc>
          <w:tcPr>
            <w:tcW w:w="6858" w:type="dxa"/>
            <w:tcBorders/>
          </w:tcPr>
          <w:p>
            <w:pPr>
              <w:pStyle w:val="Heading3"/>
              <w:keepNext w:val="false"/>
              <w:ind w:hanging="0" w:start="0"/>
              <w:rPr>
                <w:b w:val="false"/>
              </w:rPr>
            </w:pPr>
            <w:r>
              <w:rPr>
                <w:b w:val="false"/>
              </w:rPr>
              <w:tab/>
              <w:t>September</w:t>
            </w:r>
          </w:p>
        </w:tc>
        <w:tc>
          <w:tcPr>
            <w:tcW w:w="1710" w:type="dxa"/>
            <w:tcBorders/>
          </w:tcPr>
          <w:p>
            <w:pPr>
              <w:pStyle w:val="Normal"/>
              <w:tabs>
                <w:tab w:val="clear" w:pos="720"/>
                <w:tab w:val="decimal" w:pos="1062" w:leader="none"/>
              </w:tabs>
              <w:rPr/>
            </w:pPr>
            <w:r>
              <w:rPr/>
              <w:t>170,639.57</w:t>
            </w:r>
          </w:p>
        </w:tc>
      </w:tr>
      <w:tr>
        <w:trPr/>
        <w:tc>
          <w:tcPr>
            <w:tcW w:w="6858" w:type="dxa"/>
            <w:tcBorders/>
          </w:tcPr>
          <w:p>
            <w:pPr>
              <w:pStyle w:val="Heading3"/>
              <w:keepNext w:val="false"/>
              <w:snapToGrid w:val="false"/>
              <w:ind w:hanging="0" w:start="0"/>
              <w:rPr>
                <w:b w:val="false"/>
              </w:rPr>
            </w:pPr>
            <w:r>
              <w:rPr>
                <w:b w:val="false"/>
              </w:rPr>
            </w:r>
          </w:p>
          <w:p>
            <w:pPr>
              <w:pStyle w:val="Normal"/>
              <w:rPr/>
            </w:pPr>
            <w:r>
              <w:rPr/>
              <w:t>Proposed adjustment amount provided by Matt Gockerman related to Section 4.16.  Purchaser reserves the right to accept or reject the proposed adjustment pending detail review.</w:t>
            </w:r>
          </w:p>
        </w:tc>
        <w:tc>
          <w:tcPr>
            <w:tcW w:w="1710" w:type="dxa"/>
            <w:tcBorders/>
          </w:tcPr>
          <w:p>
            <w:pPr>
              <w:pStyle w:val="Normal"/>
              <w:tabs>
                <w:tab w:val="clear" w:pos="720"/>
                <w:tab w:val="decimal" w:pos="1062" w:leader="none"/>
              </w:tabs>
              <w:snapToGrid w:val="false"/>
              <w:rPr/>
            </w:pPr>
            <w:r>
              <w:rPr/>
            </w:r>
          </w:p>
          <w:p>
            <w:pPr>
              <w:pStyle w:val="Normal"/>
              <w:tabs>
                <w:tab w:val="clear" w:pos="720"/>
                <w:tab w:val="decimal" w:pos="1062" w:leader="none"/>
              </w:tabs>
              <w:rPr/>
            </w:pPr>
            <w:r>
              <w:rPr/>
            </w:r>
          </w:p>
          <w:p>
            <w:pPr>
              <w:pStyle w:val="Normal"/>
              <w:tabs>
                <w:tab w:val="clear" w:pos="720"/>
                <w:tab w:val="decimal" w:pos="1062" w:leader="none"/>
              </w:tabs>
              <w:rPr/>
            </w:pPr>
            <w:r>
              <w:rPr/>
            </w:r>
          </w:p>
          <w:p>
            <w:pPr>
              <w:pStyle w:val="Normal"/>
              <w:tabs>
                <w:tab w:val="clear" w:pos="720"/>
                <w:tab w:val="decimal" w:pos="1062" w:leader="none"/>
              </w:tabs>
              <w:rPr/>
            </w:pPr>
            <w:r>
              <w:rPr/>
              <w:t>203,500.08</w:t>
            </w:r>
          </w:p>
        </w:tc>
      </w:tr>
      <w:tr>
        <w:trPr/>
        <w:tc>
          <w:tcPr>
            <w:tcW w:w="6858" w:type="dxa"/>
            <w:tcBorders/>
          </w:tcPr>
          <w:p>
            <w:pPr>
              <w:pStyle w:val="Heading3"/>
              <w:keepNext w:val="false"/>
              <w:snapToGrid w:val="false"/>
              <w:ind w:hanging="0" w:start="0"/>
              <w:rPr>
                <w:b w:val="false"/>
              </w:rPr>
            </w:pPr>
            <w:r>
              <w:rPr>
                <w:b w:val="false"/>
              </w:rPr>
            </w:r>
          </w:p>
        </w:tc>
        <w:tc>
          <w:tcPr>
            <w:tcW w:w="1710" w:type="dxa"/>
            <w:tcBorders/>
          </w:tcPr>
          <w:p>
            <w:pPr>
              <w:pStyle w:val="Normal"/>
              <w:tabs>
                <w:tab w:val="clear" w:pos="720"/>
                <w:tab w:val="decimal" w:pos="1062" w:leader="none"/>
              </w:tabs>
              <w:snapToGrid w:val="false"/>
              <w:rPr>
                <w:b w:val="false"/>
              </w:rPr>
            </w:pPr>
            <w:r>
              <w:rPr>
                <w:b w:val="false"/>
              </w:rPr>
            </w:r>
          </w:p>
        </w:tc>
      </w:tr>
    </w:tbl>
    <w:p>
      <w:pPr>
        <w:pStyle w:val="Normal"/>
        <w:tabs>
          <w:tab w:val="clear" w:pos="720"/>
          <w:tab w:val="left" w:pos="900" w:leader="none"/>
        </w:tabs>
        <w:rPr/>
      </w:pPr>
      <w:r>
        <w:rPr/>
        <w:t>I am available to discuss at your earliest convenience.  I can be reached at (402) 398-7825.</w:t>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t>PMW:cm</w:t>
      </w:r>
    </w:p>
    <w:p>
      <w:pPr>
        <w:pStyle w:val="Normal"/>
        <w:tabs>
          <w:tab w:val="clear" w:pos="720"/>
          <w:tab w:val="left" w:pos="900" w:leader="none"/>
        </w:tabs>
        <w:rPr/>
      </w:pPr>
      <w:r>
        <w:rPr/>
      </w:r>
    </w:p>
    <w:p>
      <w:pPr>
        <w:pStyle w:val="Normal"/>
        <w:tabs>
          <w:tab w:val="clear" w:pos="720"/>
          <w:tab w:val="left" w:pos="900" w:leader="none"/>
        </w:tabs>
        <w:rPr/>
      </w:pPr>
      <w:r>
        <w:rPr/>
        <w:t>Enclosures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900" w:leader="none"/>
      </w:tabs>
      <w:outlineLvl w:val="0"/>
    </w:pPr>
    <w:rPr>
      <w:b/>
      <w:u w:val="single"/>
    </w:rPr>
  </w:style>
  <w:style w:type="paragraph" w:styleId="Heading2">
    <w:name w:val="heading 2"/>
    <w:basedOn w:val="Normal"/>
    <w:next w:val="Normal"/>
    <w:qFormat/>
    <w:pPr>
      <w:keepNext w:val="true"/>
      <w:numPr>
        <w:ilvl w:val="1"/>
        <w:numId w:val="1"/>
      </w:numPr>
      <w:tabs>
        <w:tab w:val="clear" w:pos="720"/>
        <w:tab w:val="left" w:pos="900" w:leader="none"/>
      </w:tabs>
      <w:jc w:val="center"/>
      <w:outlineLvl w:val="1"/>
    </w:pPr>
    <w:rPr>
      <w:b/>
      <w:u w:val="single"/>
    </w:rPr>
  </w:style>
  <w:style w:type="paragraph" w:styleId="Heading3">
    <w:name w:val="heading 3"/>
    <w:basedOn w:val="Normal"/>
    <w:next w:val="Normal"/>
    <w:qFormat/>
    <w:pPr>
      <w:keepNext w:val="true"/>
      <w:numPr>
        <w:ilvl w:val="2"/>
        <w:numId w:val="1"/>
      </w:numPr>
      <w:tabs>
        <w:tab w:val="clear" w:pos="720"/>
        <w:tab w:val="left" w:pos="900" w:leader="none"/>
      </w:tabs>
      <w:outlineLvl w:val="2"/>
    </w:pPr>
    <w:rPr>
      <w:b/>
    </w:rPr>
  </w:style>
  <w:style w:type="paragraph" w:styleId="Heading4">
    <w:name w:val="heading 4"/>
    <w:basedOn w:val="Normal"/>
    <w:next w:val="Normal"/>
    <w:qFormat/>
    <w:pPr>
      <w:keepNext w:val="true"/>
      <w:numPr>
        <w:ilvl w:val="3"/>
        <w:numId w:val="1"/>
      </w:numPr>
      <w:jc w:val="end"/>
      <w:outlineLvl w:val="3"/>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2000-12-27T13:20:00Z</dcterms:created>
  <dc:creator>Northern Border</dc:creator>
  <dc:description/>
  <dc:language>en-CA</dc:language>
  <cp:lastModifiedBy>Northern Border</cp:lastModifiedBy>
  <cp:lastPrinted>2000-12-28T14:59:00Z</cp:lastPrinted>
  <dcterms:modified xsi:type="dcterms:W3CDTF">2000-12-28T19:08:00Z</dcterms:modified>
  <cp:revision>11</cp:revision>
  <dc:subject/>
  <dc:title>December 28, 2000</dc:title>
</cp:coreProperties>
</file>