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720" w:start="720"/>
        <w:jc w:val="center"/>
        <w:rPr>
          <w:b/>
        </w:rPr>
      </w:pPr>
      <w:r>
        <w:rPr>
          <w:b/>
        </w:rPr>
        <w:t xml:space="preserve">UNITED STATES OF AMERICA </w:t>
      </w:r>
    </w:p>
    <w:p>
      <w:pPr>
        <w:pStyle w:val="Normal"/>
        <w:bidi w:val="0"/>
        <w:ind w:hanging="720" w:start="720"/>
        <w:jc w:val="center"/>
        <w:rPr>
          <w:b/>
        </w:rPr>
      </w:pPr>
      <w:r>
        <w:rPr>
          <w:b/>
        </w:rPr>
        <w:t xml:space="preserve">BEFORE THE </w:t>
      </w:r>
    </w:p>
    <w:p>
      <w:pPr>
        <w:pStyle w:val="Normal"/>
        <w:bidi w:val="0"/>
        <w:ind w:hanging="720" w:start="720"/>
        <w:jc w:val="center"/>
        <w:rPr>
          <w:b/>
        </w:rPr>
      </w:pPr>
      <w:r>
        <w:rPr>
          <w:b/>
        </w:rPr>
        <w:t>FEDERAL ENERGY REGULATORY COMMISSION</w:t>
      </w:r>
    </w:p>
    <w:p>
      <w:pPr>
        <w:pStyle w:val="Normal"/>
        <w:bidi w:val="0"/>
        <w:ind w:hanging="720" w:start="720"/>
        <w:jc w:val="start"/>
        <w:rPr>
          <w:b/>
        </w:rPr>
      </w:pPr>
      <w:r>
        <w:rPr>
          <w:b/>
        </w:rPr>
      </w:r>
    </w:p>
    <w:p>
      <w:pPr>
        <w:pStyle w:val="Normal"/>
        <w:bidi w:val="0"/>
        <w:ind w:hanging="720" w:start="720"/>
        <w:jc w:val="start"/>
        <w:rPr>
          <w:b/>
        </w:rPr>
      </w:pPr>
      <w:r>
        <w:rPr>
          <w:b/>
        </w:rPr>
      </w:r>
    </w:p>
    <w:p>
      <w:pPr>
        <w:pStyle w:val="Normal"/>
        <w:tabs>
          <w:tab w:val="clear" w:pos="720"/>
          <w:tab w:val="center" w:pos="4680" w:leader="none"/>
          <w:tab w:val="right" w:pos="9360" w:leader="none"/>
        </w:tabs>
        <w:bidi w:val="0"/>
        <w:jc w:val="start"/>
        <w:rPr/>
      </w:pPr>
      <w:r>
        <w:rPr/>
        <w:t>San Diego Gas &amp; Electric Company,</w:t>
        <w:tab/>
        <w:t>)</w:t>
      </w:r>
    </w:p>
    <w:p>
      <w:pPr>
        <w:pStyle w:val="Normal"/>
        <w:tabs>
          <w:tab w:val="left" w:pos="720" w:leader="none"/>
          <w:tab w:val="center" w:pos="4680" w:leader="none"/>
          <w:tab w:val="right" w:pos="9360" w:leader="none"/>
        </w:tabs>
        <w:bidi w:val="0"/>
        <w:jc w:val="start"/>
        <w:rPr/>
      </w:pPr>
      <w:r>
        <w:rPr/>
        <w:tab/>
        <w:t>Complainant,</w:t>
        <w:tab/>
        <w:t>)</w:t>
      </w:r>
    </w:p>
    <w:p>
      <w:pPr>
        <w:pStyle w:val="Normal"/>
        <w:tabs>
          <w:tab w:val="clear" w:pos="720"/>
          <w:tab w:val="center" w:pos="4680" w:leader="none"/>
          <w:tab w:val="right" w:pos="9360" w:leader="none"/>
        </w:tabs>
        <w:bidi w:val="0"/>
        <w:jc w:val="start"/>
        <w:rPr/>
      </w:pPr>
      <w:r>
        <w:rPr/>
        <w:tab/>
        <w:t>)</w:t>
      </w:r>
    </w:p>
    <w:p>
      <w:pPr>
        <w:pStyle w:val="Normal"/>
        <w:tabs>
          <w:tab w:val="clear" w:pos="720"/>
          <w:tab w:val="left" w:pos="1440" w:leader="none"/>
          <w:tab w:val="center" w:pos="4680" w:leader="none"/>
          <w:tab w:val="right" w:pos="9360" w:leader="none"/>
        </w:tabs>
        <w:bidi w:val="0"/>
        <w:jc w:val="start"/>
        <w:rPr/>
      </w:pPr>
      <w:r>
        <w:rPr/>
        <w:tab/>
        <w:t>v.</w:t>
        <w:tab/>
        <w:t>)</w:t>
        <w:tab/>
        <w:t>Docket No. EL00-95-045</w:t>
      </w:r>
    </w:p>
    <w:p>
      <w:pPr>
        <w:pStyle w:val="Normal"/>
        <w:tabs>
          <w:tab w:val="clear" w:pos="720"/>
          <w:tab w:val="center" w:pos="4680" w:leader="none"/>
          <w:tab w:val="right" w:pos="9360" w:leader="none"/>
        </w:tabs>
        <w:bidi w:val="0"/>
        <w:jc w:val="start"/>
        <w:rPr/>
      </w:pPr>
      <w:r>
        <w:rPr/>
        <w:tab/>
        <w:t>)</w:t>
      </w:r>
    </w:p>
    <w:p>
      <w:pPr>
        <w:pStyle w:val="Normal"/>
        <w:tabs>
          <w:tab w:val="clear" w:pos="720"/>
          <w:tab w:val="center" w:pos="4680" w:leader="none"/>
          <w:tab w:val="right" w:pos="9360" w:leader="none"/>
        </w:tabs>
        <w:bidi w:val="0"/>
        <w:jc w:val="start"/>
        <w:rPr/>
      </w:pPr>
      <w:r>
        <w:rPr/>
        <w:t>Sellers of Energy and Ancillary Services</w:t>
        <w:tab/>
        <w:t>)</w:t>
      </w:r>
    </w:p>
    <w:p>
      <w:pPr>
        <w:pStyle w:val="Normal"/>
        <w:tabs>
          <w:tab w:val="clear" w:pos="720"/>
          <w:tab w:val="center" w:pos="4680" w:leader="none"/>
          <w:tab w:val="right" w:pos="9360" w:leader="none"/>
        </w:tabs>
        <w:bidi w:val="0"/>
        <w:jc w:val="start"/>
        <w:rPr/>
      </w:pPr>
      <w:r>
        <w:rPr/>
        <w:t>Into Markets Operated by the California</w:t>
        <w:tab/>
        <w:t>)</w:t>
      </w:r>
    </w:p>
    <w:p>
      <w:pPr>
        <w:pStyle w:val="Normal"/>
        <w:tabs>
          <w:tab w:val="clear" w:pos="720"/>
          <w:tab w:val="center" w:pos="4680" w:leader="none"/>
          <w:tab w:val="right" w:pos="9360" w:leader="none"/>
        </w:tabs>
        <w:bidi w:val="0"/>
        <w:jc w:val="start"/>
        <w:rPr/>
      </w:pPr>
      <w:r>
        <w:rPr/>
        <w:t>Independent System Operator and the</w:t>
        <w:tab/>
        <w:t>)</w:t>
      </w:r>
    </w:p>
    <w:p>
      <w:pPr>
        <w:pStyle w:val="Normal"/>
        <w:tabs>
          <w:tab w:val="clear" w:pos="720"/>
          <w:tab w:val="center" w:pos="4680" w:leader="none"/>
          <w:tab w:val="right" w:pos="9360" w:leader="none"/>
        </w:tabs>
        <w:bidi w:val="0"/>
        <w:jc w:val="start"/>
        <w:rPr/>
      </w:pPr>
      <w:r>
        <w:rPr/>
        <w:t>California Power Exchange,</w:t>
        <w:tab/>
        <w:t>)</w:t>
      </w:r>
    </w:p>
    <w:p>
      <w:pPr>
        <w:pStyle w:val="Normal"/>
        <w:tabs>
          <w:tab w:val="left" w:pos="720" w:leader="none"/>
          <w:tab w:val="center" w:pos="4680" w:leader="none"/>
          <w:tab w:val="right" w:pos="9360" w:leader="none"/>
        </w:tabs>
        <w:bidi w:val="0"/>
        <w:jc w:val="start"/>
        <w:rPr/>
      </w:pPr>
      <w:r>
        <w:rPr/>
        <w:tab/>
        <w:t>Respondents.</w:t>
        <w:tab/>
        <w:t>)</w:t>
      </w:r>
    </w:p>
    <w:p>
      <w:pPr>
        <w:pStyle w:val="Normal"/>
        <w:tabs>
          <w:tab w:val="clear" w:pos="720"/>
          <w:tab w:val="center" w:pos="4680" w:leader="none"/>
          <w:tab w:val="right" w:pos="9360" w:leader="none"/>
        </w:tabs>
        <w:bidi w:val="0"/>
        <w:jc w:val="start"/>
        <w:rPr/>
      </w:pPr>
      <w:r>
        <w:rPr/>
        <w:tab/>
        <w:t>)</w:t>
      </w:r>
    </w:p>
    <w:p>
      <w:pPr>
        <w:pStyle w:val="Normal"/>
        <w:tabs>
          <w:tab w:val="clear" w:pos="720"/>
          <w:tab w:val="center" w:pos="4680" w:leader="none"/>
          <w:tab w:val="right" w:pos="9360" w:leader="none"/>
        </w:tabs>
        <w:bidi w:val="0"/>
        <w:jc w:val="start"/>
        <w:rPr/>
      </w:pPr>
      <w:r>
        <w:rPr/>
        <w:tab/>
        <w:t>)</w:t>
      </w:r>
    </w:p>
    <w:p>
      <w:pPr>
        <w:pStyle w:val="Normal"/>
        <w:tabs>
          <w:tab w:val="clear" w:pos="720"/>
          <w:tab w:val="center" w:pos="4680" w:leader="none"/>
          <w:tab w:val="right" w:pos="9360" w:leader="none"/>
        </w:tabs>
        <w:bidi w:val="0"/>
        <w:jc w:val="start"/>
        <w:rPr/>
      </w:pPr>
      <w:r>
        <w:rPr/>
        <w:t>Investigation of Practices of the California</w:t>
        <w:tab/>
        <w:t>)</w:t>
        <w:tab/>
        <w:t>Docket No. EL00-98-042</w:t>
      </w:r>
    </w:p>
    <w:p>
      <w:pPr>
        <w:pStyle w:val="Normal"/>
        <w:tabs>
          <w:tab w:val="clear" w:pos="720"/>
          <w:tab w:val="center" w:pos="4680" w:leader="none"/>
          <w:tab w:val="right" w:pos="9360" w:leader="none"/>
        </w:tabs>
        <w:bidi w:val="0"/>
        <w:jc w:val="start"/>
        <w:rPr/>
      </w:pPr>
      <w:r>
        <w:rPr/>
        <w:t xml:space="preserve">Independent System Operator and the </w:t>
        <w:tab/>
        <w:t>)</w:t>
      </w:r>
    </w:p>
    <w:p>
      <w:pPr>
        <w:pStyle w:val="Normal"/>
        <w:tabs>
          <w:tab w:val="clear" w:pos="720"/>
          <w:tab w:val="center" w:pos="4680" w:leader="none"/>
          <w:tab w:val="right" w:pos="9360" w:leader="none"/>
        </w:tabs>
        <w:bidi w:val="0"/>
        <w:jc w:val="start"/>
        <w:rPr/>
      </w:pPr>
      <w:r>
        <w:rPr/>
        <w:t>California Power Exchange</w:t>
        <w:tab/>
        <w:t>)</w:t>
      </w:r>
    </w:p>
    <w:p>
      <w:pPr>
        <w:pStyle w:val="Normal"/>
        <w:tabs>
          <w:tab w:val="clear" w:pos="720"/>
          <w:tab w:val="left" w:pos="72" w:leader="none"/>
          <w:tab w:val="left" w:pos="4680" w:leader="none"/>
        </w:tabs>
        <w:bidi w:val="0"/>
        <w:jc w:val="start"/>
        <w:rPr/>
      </w:pPr>
      <w:r>
        <w:rPr/>
      </w:r>
    </w:p>
    <w:p>
      <w:pPr>
        <w:pStyle w:val="Normal"/>
        <w:tabs>
          <w:tab w:val="clear" w:pos="720"/>
          <w:tab w:val="left" w:pos="72" w:leader="none"/>
          <w:tab w:val="left" w:pos="4680" w:leader="none"/>
        </w:tabs>
        <w:bidi w:val="0"/>
        <w:jc w:val="start"/>
        <w:rPr/>
      </w:pPr>
      <w:r>
        <w:rPr/>
      </w:r>
    </w:p>
    <w:p>
      <w:pPr>
        <w:pStyle w:val="Normal"/>
        <w:tabs>
          <w:tab w:val="left" w:pos="720" w:leader="none"/>
          <w:tab w:val="left" w:pos="2880" w:leader="none"/>
        </w:tabs>
        <w:suppressAutoHyphens w:val="true"/>
        <w:bidi w:val="0"/>
        <w:jc w:val="center"/>
        <w:rPr>
          <w:b/>
          <w:caps/>
        </w:rPr>
      </w:pPr>
      <w:r>
        <w:rPr>
          <w:b/>
          <w:caps/>
        </w:rPr>
        <w:t>notice of deposition</w:t>
      </w:r>
    </w:p>
    <w:p>
      <w:pPr>
        <w:pStyle w:val="Normal"/>
        <w:tabs>
          <w:tab w:val="left" w:pos="720" w:leader="none"/>
          <w:tab w:val="left" w:pos="2880" w:leader="none"/>
        </w:tabs>
        <w:suppressAutoHyphens w:val="true"/>
        <w:bidi w:val="0"/>
        <w:jc w:val="center"/>
        <w:rPr>
          <w:b/>
          <w:caps/>
        </w:rPr>
      </w:pPr>
      <w:r>
        <w:rPr>
          <w:b/>
          <w:caps/>
        </w:rPr>
        <w:t>of</w:t>
      </w:r>
    </w:p>
    <w:p>
      <w:pPr>
        <w:pStyle w:val="Normal"/>
        <w:tabs>
          <w:tab w:val="left" w:pos="720" w:leader="none"/>
          <w:tab w:val="left" w:pos="2880" w:leader="none"/>
        </w:tabs>
        <w:suppressAutoHyphens w:val="true"/>
        <w:bidi w:val="0"/>
        <w:jc w:val="center"/>
        <w:rPr>
          <w:b/>
          <w:caps/>
        </w:rPr>
      </w:pPr>
      <w:r>
        <w:rPr>
          <w:b/>
          <w:caps/>
        </w:rPr>
        <w:t>Scott T. Jones</w:t>
      </w:r>
    </w:p>
    <w:p>
      <w:pPr>
        <w:pStyle w:val="Normal"/>
        <w:tabs>
          <w:tab w:val="left" w:pos="720" w:leader="none"/>
          <w:tab w:val="left" w:pos="2880" w:leader="none"/>
        </w:tabs>
        <w:suppressAutoHyphens w:val="true"/>
        <w:bidi w:val="0"/>
        <w:jc w:val="center"/>
        <w:rPr/>
      </w:pPr>
      <w:r>
        <w:rPr/>
      </w:r>
    </w:p>
    <w:p>
      <w:pPr>
        <w:pStyle w:val="Normal"/>
        <w:tabs>
          <w:tab w:val="left" w:pos="720" w:leader="none"/>
          <w:tab w:val="left" w:pos="2880" w:leader="none"/>
        </w:tabs>
        <w:suppressAutoHyphens w:val="true"/>
        <w:bidi w:val="0"/>
        <w:jc w:val="start"/>
        <w:rPr/>
      </w:pPr>
      <w:r>
        <w:rPr/>
      </w:r>
    </w:p>
    <w:p>
      <w:pPr>
        <w:pStyle w:val="Normal"/>
        <w:bidi w:val="0"/>
        <w:spacing w:lineRule="auto" w:line="480"/>
        <w:ind w:firstLine="720"/>
        <w:jc w:val="start"/>
        <w:rPr/>
      </w:pPr>
      <w:r>
        <w:rPr/>
        <w:t>Pursuant to Rule 404 of the Rules of Practice and Procedure of the Federal Energy Regulatory Commission (“Commission”), 18 C.F.R. § 385.404 (2001), the Attorney General of the State of California, the California Public Utilities Commission, the California Electricity Oversight Board, Pacific Gas and Electric Company, San Diego Gas &amp; Electric Company, and Southern California Edison Company (collectively, “the California Parties”) hereby give notice of their intent to take the deposition of Scott T. Jones.</w:t>
      </w:r>
    </w:p>
    <w:p>
      <w:pPr>
        <w:pStyle w:val="Normal"/>
        <w:bidi w:val="0"/>
        <w:spacing w:lineRule="auto" w:line="480"/>
        <w:ind w:firstLine="720"/>
        <w:jc w:val="start"/>
        <w:rPr/>
      </w:pPr>
      <w:r>
        <w:rPr/>
        <w:t>The deposition will take place on Friday, November 30, 2001, commencing at 8:00 a.m., in Cambridge, Massachusetts, or such other location, time, and date as mutually agreed upon by the parties.</w:t>
      </w:r>
    </w:p>
    <w:p>
      <w:pPr>
        <w:pStyle w:val="Normal"/>
        <w:bidi w:val="0"/>
        <w:spacing w:lineRule="auto" w:line="480"/>
        <w:ind w:firstLine="720"/>
        <w:jc w:val="start"/>
        <w:rPr/>
      </w:pPr>
      <w:r>
        <w:rPr/>
        <w:t xml:space="preserve">The subject matter of this deposition encompasses the issues to be addressed in the evidentiary hearing proceeding established pursuant to the Commission’s July 25, 2001 order in the above-captioned dockets, including the data and analyses provided by the California Independent System Operator Corporation to the Presiding Judge, Commission Staff and the parties pursuant to that order, as well as such other topics as may be relevant to this proceeding. </w:t>
      </w:r>
    </w:p>
    <w:p>
      <w:pPr>
        <w:pStyle w:val="Normal"/>
        <w:bidi w:val="0"/>
        <w:spacing w:lineRule="auto" w:line="480"/>
        <w:ind w:firstLine="720"/>
        <w:jc w:val="start"/>
        <w:rPr/>
      </w:pPr>
      <w:r>
        <w:rPr/>
        <w:t>Such deposition shall include inquiry into the facts, methodology, assumptions, source data, reasoning, economic theories, analysis, conclusions, and supporting materials which the deponent has generated or reviewed regarding the data and analyses referenced above, as well as the data and analyses itself.</w:t>
      </w:r>
    </w:p>
    <w:p>
      <w:pPr>
        <w:pStyle w:val="Normal"/>
        <w:bidi w:val="0"/>
        <w:spacing w:lineRule="auto" w:line="480"/>
        <w:ind w:firstLine="720"/>
        <w:jc w:val="start"/>
        <w:rPr/>
      </w:pPr>
      <w:r>
        <w:rPr/>
        <w:t>All other participants are hereby notified of this deposition.</w:t>
      </w:r>
    </w:p>
    <w:p>
      <w:pPr>
        <w:pStyle w:val="Normal"/>
        <w:bidi w:val="0"/>
        <w:spacing w:lineRule="auto" w:line="480"/>
        <w:ind w:firstLine="720"/>
        <w:jc w:val="start"/>
        <w:rPr/>
      </w:pPr>
      <w:r>
        <w:rPr/>
      </w:r>
    </w:p>
    <w:p>
      <w:pPr>
        <w:pStyle w:val="Normal"/>
        <w:bidi w:val="0"/>
        <w:ind w:hanging="0" w:start="4320"/>
        <w:jc w:val="start"/>
        <w:rPr/>
      </w:pPr>
      <w:r>
        <w:rPr/>
      </w:r>
    </w:p>
    <w:p>
      <w:pPr>
        <w:pStyle w:val="Normal"/>
        <w:bidi w:val="0"/>
        <w:ind w:hanging="0" w:start="4320"/>
        <w:jc w:val="start"/>
        <w:rPr/>
      </w:pPr>
      <w:r>
        <w:rPr/>
        <w:t>_____________________</w:t>
      </w:r>
    </w:p>
    <w:p>
      <w:pPr>
        <w:pStyle w:val="Normal"/>
        <w:bidi w:val="0"/>
        <w:ind w:hanging="0" w:start="4320"/>
        <w:jc w:val="start"/>
        <w:rPr/>
      </w:pPr>
      <w:r>
        <w:rPr/>
        <w:t>Stan Berman</w:t>
      </w:r>
    </w:p>
    <w:p>
      <w:pPr>
        <w:pStyle w:val="Normal"/>
        <w:bidi w:val="0"/>
        <w:ind w:hanging="0" w:start="4320"/>
        <w:jc w:val="start"/>
        <w:rPr/>
      </w:pPr>
      <w:r>
        <w:rPr/>
        <w:t>Joseph H. Fagan</w:t>
      </w:r>
    </w:p>
    <w:p>
      <w:pPr>
        <w:pStyle w:val="Normal"/>
        <w:bidi w:val="0"/>
        <w:ind w:hanging="0" w:start="4320"/>
        <w:jc w:val="start"/>
        <w:rPr/>
      </w:pPr>
      <w:r>
        <w:rPr/>
        <w:t>Heller Ehrman White &amp; McAuliffe, LLP</w:t>
      </w:r>
    </w:p>
    <w:p>
      <w:pPr>
        <w:pStyle w:val="Normal"/>
        <w:bidi w:val="0"/>
        <w:ind w:hanging="0" w:start="4320"/>
        <w:jc w:val="start"/>
        <w:rPr/>
      </w:pPr>
      <w:r>
        <w:rPr/>
        <w:t>1666 K Street, NW</w:t>
      </w:r>
    </w:p>
    <w:p>
      <w:pPr>
        <w:pStyle w:val="Normal"/>
        <w:bidi w:val="0"/>
        <w:ind w:hanging="0" w:start="4320"/>
        <w:jc w:val="start"/>
        <w:rPr/>
      </w:pPr>
      <w:r>
        <w:rPr/>
        <w:t>Suite 300</w:t>
      </w:r>
    </w:p>
    <w:p>
      <w:pPr>
        <w:pStyle w:val="Normal"/>
        <w:bidi w:val="0"/>
        <w:ind w:hanging="0" w:start="4320"/>
        <w:jc w:val="start"/>
        <w:rPr/>
      </w:pPr>
      <w:r>
        <w:rPr/>
        <w:t>Washington, DC 20006-1228</w:t>
      </w:r>
    </w:p>
    <w:p>
      <w:pPr>
        <w:pStyle w:val="Normal"/>
        <w:bidi w:val="0"/>
        <w:ind w:hanging="0" w:start="4320"/>
        <w:jc w:val="start"/>
        <w:rPr/>
      </w:pPr>
      <w:r>
        <w:rPr/>
      </w:r>
    </w:p>
    <w:p>
      <w:pPr>
        <w:pStyle w:val="Normal"/>
        <w:bidi w:val="0"/>
        <w:ind w:hanging="0" w:start="4320"/>
        <w:jc w:val="start"/>
        <w:rPr/>
      </w:pPr>
      <w:r>
        <w:rPr/>
        <w:t>Attorneys for Pacific Gas &amp; Electric Company</w:t>
      </w:r>
    </w:p>
    <w:p>
      <w:pPr>
        <w:pStyle w:val="Normal"/>
        <w:bidi w:val="0"/>
        <w:ind w:hanging="0" w:start="4320"/>
        <w:jc w:val="start"/>
        <w:rPr/>
      </w:pPr>
      <w:r>
        <w:rPr/>
      </w:r>
    </w:p>
    <w:p>
      <w:pPr>
        <w:pStyle w:val="Normal"/>
        <w:bidi w:val="0"/>
        <w:ind w:hanging="0" w:start="4320"/>
        <w:jc w:val="start"/>
        <w:rPr/>
      </w:pPr>
      <w:r>
        <w:rPr/>
      </w:r>
    </w:p>
    <w:p>
      <w:pPr>
        <w:pStyle w:val="Normal"/>
        <w:widowControl/>
        <w:suppressAutoHyphens w:val="true"/>
        <w:bidi w:val="0"/>
        <w:jc w:val="start"/>
        <w:rPr/>
      </w:pPr>
      <w:r>
        <w:rPr/>
        <w:t>Dated:    November 16, 2001</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G Times" w:cs="Times New Roman"/>
      <w:color w:val="auto"/>
      <w:kern w:val="2"/>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BodyText2">
    <w:name w:val="Body Text 2"/>
    <w:basedOn w:val="Normal"/>
    <w:qFormat/>
    <w:pPr>
      <w:widowControl w:val="false"/>
      <w:ind w:hanging="0" w:start="1440"/>
    </w:pPr>
    <w:rPr>
      <w:rFonts w:ascii="Arial" w:hAnsi="Arial"/>
      <w:i/>
      <w:sz w:val="20"/>
    </w:rPr>
  </w:style>
  <w:style w:type="paragraph" w:styleId="SignatureBlocksb">
    <w:name w:val="Signature Block,sb"/>
    <w:basedOn w:val="Normal"/>
    <w:next w:val="Normal"/>
    <w:qFormat/>
    <w:pPr>
      <w:widowControl w:val="false"/>
      <w:ind w:firstLine="720" w:start="4320"/>
    </w:pPr>
    <w:rPr>
      <w:rFonts w:ascii="CG Times" w:hAnsi="CG Time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339</Words>
  <Characters>2200</Characters>
  <CharactersWithSpaces>1904</CharactersWithSpaces>
  <Company>Troutman Sanders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2001-11-16T16:47:00Z</dcterms:created>
  <dc:creator>JFagan</dc:creator>
  <dc:description>13779.0063</dc:description>
  <cp:keywords>34055 v01.DC (Q9Z01!.DOC)</cp:keywords>
  <dc:language>en-US</dc:language>
  <cp:lastModifiedBy/>
  <cp:lastPrinted>2001-11-16T14:45:00Z</cp:lastPrinted>
  <dcterms:modified xsi:type="dcterms:W3CDTF">2001-11-16T16:47:00Z</dcterms:modified>
  <cp:revision>2</cp:revision>
  <dc:subject/>
  <dc:title>Notice of Deposition - S. Jones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ies>
</file>