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0"/>
        <w:tabs>
          <w:tab w:val="clear" w:pos="720"/>
          <w:tab w:val="center" w:pos="4140" w:leader="none"/>
          <w:tab w:val="right" w:pos="8280" w:leader="none"/>
        </w:tabs>
        <w:spacing w:lineRule="auto" w:line="360" w:before="0" w:after="140"/>
        <w:rPr>
          <w:u w:val="single"/>
        </w:rPr>
      </w:pPr>
      <w:r>
        <w:rPr>
          <w:u w:val="single"/>
        </w:rPr>
        <w:t>IN THE MATTER OF THE ARBITRATION ACT 1996</w:t>
      </w:r>
    </w:p>
    <w:p>
      <w:pPr>
        <w:pStyle w:val="Heading10"/>
        <w:tabs>
          <w:tab w:val="clear" w:pos="720"/>
          <w:tab w:val="center" w:pos="4140" w:leader="none"/>
          <w:tab w:val="right" w:pos="8280" w:leader="none"/>
        </w:tabs>
        <w:spacing w:lineRule="auto" w:line="360" w:before="0" w:after="140"/>
        <w:rPr>
          <w:u w:val="single"/>
        </w:rPr>
      </w:pPr>
      <w:r>
        <w:rPr>
          <w:u w:val="single"/>
        </w:rPr>
        <w:t>AND</w:t>
      </w:r>
    </w:p>
    <w:p>
      <w:pPr>
        <w:pStyle w:val="Heading10"/>
        <w:tabs>
          <w:tab w:val="clear" w:pos="720"/>
          <w:tab w:val="center" w:pos="4140" w:leader="none"/>
          <w:tab w:val="right" w:pos="8280" w:leader="none"/>
        </w:tabs>
        <w:spacing w:lineRule="auto" w:line="360" w:before="0" w:after="140"/>
        <w:rPr>
          <w:u w:val="single"/>
        </w:rPr>
      </w:pPr>
      <w:r>
        <w:rPr>
          <w:u w:val="single"/>
        </w:rPr>
        <w:t>IN THE MATTER OF AN ARBITRATION</w:t>
        <w:br/>
        <w:t>(UNDER THE UNCITRAL ARBITRATION RULES)</w:t>
      </w:r>
    </w:p>
    <w:p>
      <w:pPr>
        <w:pStyle w:val="Heading10"/>
        <w:tabs>
          <w:tab w:val="left" w:pos="720" w:leader="none"/>
          <w:tab w:val="left" w:pos="1440" w:leader="none"/>
        </w:tabs>
        <w:spacing w:lineRule="auto" w:line="360"/>
        <w:jc w:val="center"/>
        <w:rPr>
          <w:u w:val="single"/>
        </w:rPr>
      </w:pPr>
      <w:r>
        <w:rPr>
          <w:u w:val="single"/>
        </w:rPr>
      </w:r>
    </w:p>
    <w:p>
      <w:pPr>
        <w:pStyle w:val="Heading10"/>
        <w:tabs>
          <w:tab w:val="left" w:pos="720" w:leader="none"/>
          <w:tab w:val="left" w:pos="1440" w:leader="none"/>
        </w:tabs>
        <w:spacing w:lineRule="auto" w:line="360"/>
        <w:rPr/>
      </w:pPr>
      <w:r>
        <w:rPr/>
        <w:t>BETWEEN:-</w:t>
      </w:r>
    </w:p>
    <w:p>
      <w:pPr>
        <w:pStyle w:val="Heading10"/>
        <w:tabs>
          <w:tab w:val="left" w:pos="720" w:leader="none"/>
          <w:tab w:val="left" w:pos="1440" w:leader="none"/>
        </w:tabs>
        <w:spacing w:lineRule="auto" w:line="360"/>
        <w:jc w:val="center"/>
        <w:rPr/>
      </w:pPr>
      <w:r>
        <w:rPr/>
        <w:t>DABHOL POWER COMPANY</w:t>
      </w:r>
    </w:p>
    <w:p>
      <w:pPr>
        <w:pStyle w:val="Heading10"/>
        <w:tabs>
          <w:tab w:val="left" w:pos="720" w:leader="none"/>
          <w:tab w:val="left" w:pos="1440" w:leader="none"/>
        </w:tabs>
        <w:spacing w:lineRule="auto" w:line="360" w:before="280" w:after="0"/>
        <w:jc w:val="end"/>
        <w:rPr>
          <w:u w:val="single"/>
        </w:rPr>
      </w:pPr>
      <w:r>
        <w:rPr>
          <w:u w:val="single"/>
        </w:rPr>
        <w:t>Claimant</w:t>
      </w:r>
    </w:p>
    <w:p>
      <w:pPr>
        <w:pStyle w:val="Heading10"/>
        <w:tabs>
          <w:tab w:val="left" w:pos="720" w:leader="none"/>
          <w:tab w:val="left" w:pos="1440" w:leader="none"/>
        </w:tabs>
        <w:spacing w:lineRule="auto" w:line="360"/>
        <w:jc w:val="center"/>
        <w:rPr/>
      </w:pPr>
      <w:r>
        <w:rPr/>
        <w:t>-and-</w:t>
      </w:r>
    </w:p>
    <w:p>
      <w:pPr>
        <w:pStyle w:val="Heading10"/>
        <w:tabs>
          <w:tab w:val="left" w:pos="720" w:leader="none"/>
          <w:tab w:val="left" w:pos="1440" w:leader="none"/>
        </w:tabs>
        <w:spacing w:lineRule="auto" w:line="360" w:before="280" w:after="0"/>
        <w:jc w:val="center"/>
        <w:rPr/>
      </w:pPr>
      <w:r>
        <w:rPr/>
        <w:t>THE UNION OF INDIA</w:t>
      </w:r>
    </w:p>
    <w:p>
      <w:pPr>
        <w:pStyle w:val="Heading10"/>
        <w:tabs>
          <w:tab w:val="left" w:pos="720" w:leader="none"/>
          <w:tab w:val="left" w:pos="1440" w:leader="none"/>
        </w:tabs>
        <w:spacing w:lineRule="auto" w:line="360" w:before="280" w:after="0"/>
        <w:jc w:val="end"/>
        <w:rPr>
          <w:u w:val="single"/>
        </w:rPr>
      </w:pPr>
      <w:r>
        <w:rPr>
          <w:u w:val="single"/>
        </w:rPr>
        <w:t>Respondent</w:t>
      </w:r>
    </w:p>
    <w:p>
      <w:pPr>
        <w:pStyle w:val="Heading10"/>
        <w:tabs>
          <w:tab w:val="left" w:pos="720" w:leader="none"/>
          <w:tab w:val="left" w:pos="1440" w:leader="none"/>
        </w:tabs>
        <w:spacing w:lineRule="auto" w:line="360"/>
        <w:jc w:val="center"/>
        <w:rPr>
          <w:b w:val="false"/>
          <w:u w:val="single"/>
        </w:rPr>
      </w:pPr>
      <w:r>
        <w:rPr>
          <w:b w:val="false"/>
          <w:u w:val="single"/>
        </w:rPr>
      </w:r>
    </w:p>
    <w:tbl>
      <w:tblPr>
        <w:tblW w:w="4856" w:type="dxa"/>
        <w:jc w:val="center"/>
        <w:tblInd w:w="0" w:type="dxa"/>
        <w:tblLayout w:type="fixed"/>
        <w:tblCellMar>
          <w:top w:w="0" w:type="dxa"/>
          <w:start w:w="108" w:type="dxa"/>
          <w:bottom w:w="0" w:type="dxa"/>
          <w:end w:w="108" w:type="dxa"/>
        </w:tblCellMar>
      </w:tblPr>
      <w:tblGrid>
        <w:gridCol w:w="4856"/>
      </w:tblGrid>
      <w:tr>
        <w:trPr/>
        <w:tc>
          <w:tcPr>
            <w:tcW w:w="4856" w:type="dxa"/>
            <w:tcBorders>
              <w:top w:val="single" w:sz="18" w:space="0" w:color="000000"/>
              <w:bottom w:val="single" w:sz="18" w:space="0" w:color="000000"/>
            </w:tcBorders>
          </w:tcPr>
          <w:p>
            <w:pPr>
              <w:pStyle w:val="Heading10"/>
              <w:tabs>
                <w:tab w:val="left" w:pos="720" w:leader="none"/>
                <w:tab w:val="left" w:pos="1440" w:leader="none"/>
              </w:tabs>
              <w:spacing w:before="400" w:after="280"/>
              <w:jc w:val="center"/>
              <w:rPr>
                <w:u w:val="single"/>
              </w:rPr>
            </w:pPr>
            <w:r>
              <w:rPr/>
              <w:t>NOTICE OF ARBITRATION</w:t>
            </w:r>
          </w:p>
        </w:tc>
      </w:tr>
    </w:tbl>
    <w:p>
      <w:pPr>
        <w:pStyle w:val="Heading1"/>
        <w:spacing w:lineRule="auto" w:line="360" w:before="0" w:after="140"/>
        <w:ind w:hanging="0" w:start="0"/>
        <w:rPr>
          <w:kern w:val="0"/>
          <w:u w:val="single"/>
        </w:rPr>
      </w:pPr>
      <w:r>
        <w:rPr>
          <w:kern w:val="0"/>
          <w:u w:val="single"/>
        </w:rPr>
      </w:r>
    </w:p>
    <w:p>
      <w:pPr>
        <w:pStyle w:val="Recitals"/>
        <w:numPr>
          <w:ilvl w:val="0"/>
          <w:numId w:val="3"/>
        </w:numPr>
        <w:ind w:hanging="0" w:start="0"/>
        <w:rPr/>
      </w:pPr>
      <w:r>
        <w:rPr>
          <w:u w:val="single"/>
        </w:rPr>
        <w:t>Demand for Arbitration</w:t>
      </w:r>
    </w:p>
    <w:p>
      <w:pPr>
        <w:pStyle w:val="1LevelPara"/>
        <w:numPr>
          <w:ilvl w:val="0"/>
          <w:numId w:val="18"/>
        </w:numPr>
        <w:ind w:hanging="0" w:start="0" w:end="0"/>
        <w:rPr/>
      </w:pPr>
      <w:r>
        <w:rPr/>
        <w:t>Dabhol Power Company, the Claimant herein, hereby demands that the disputes and differences set out and described in paragraphs 8, 9 and 11 below (each “a Dispute”) which have arisen between it and The Union of India, the Respondent herein, out of or in connection with a Guarantee given by the Respondent in favour of the Claimant on 15</w:t>
      </w:r>
      <w:r>
        <w:rPr>
          <w:vertAlign w:val="superscript"/>
        </w:rPr>
        <w:t>th</w:t>
      </w:r>
      <w:r>
        <w:rPr/>
        <w:t xml:space="preserve"> September 1994 (“the GOI Guarantee”) be referred to arbitration pursuant to, and in accordance with, the provisions of the arbitration agreement between the parties set out in Clause 13(b) of the GOI Guarantee and the Arbitration Rules of the United Nations Commission on International Trade Law (set out in resolution 35/52 on adopted by the United Nations General Assembly on 15</w:t>
      </w:r>
      <w:r>
        <w:rPr>
          <w:vertAlign w:val="superscript"/>
        </w:rPr>
        <w:t>th</w:t>
      </w:r>
      <w:r>
        <w:rPr/>
        <w:t xml:space="preserve"> December 1976) (“the UNCITRAL Arbitration Rules”).</w:t>
      </w:r>
    </w:p>
    <w:p>
      <w:pPr>
        <w:pStyle w:val="Recitals"/>
        <w:numPr>
          <w:ilvl w:val="0"/>
          <w:numId w:val="3"/>
        </w:numPr>
        <w:ind w:hanging="0" w:start="0"/>
        <w:rPr/>
      </w:pPr>
      <w:r>
        <w:rPr>
          <w:u w:val="single"/>
        </w:rPr>
        <w:t>Definitions and Abbreviations</w:t>
      </w:r>
    </w:p>
    <w:p>
      <w:pPr>
        <w:pStyle w:val="1LevelPara"/>
        <w:numPr>
          <w:ilvl w:val="0"/>
          <w:numId w:val="18"/>
        </w:numPr>
        <w:ind w:hanging="0" w:start="0" w:end="0"/>
        <w:rPr/>
      </w:pPr>
      <w:r>
        <w:rPr/>
        <w:t>Save where the context requires otherwise, capitalised terms which are not defined in this Notice of Arbitration shall bear the meanings ascribed to them in Clause 1.1 of a Power Purchase Agreement entered into between the Claimant and the Maharashtra State Electricity Board on 8</w:t>
      </w:r>
      <w:r>
        <w:rPr>
          <w:vertAlign w:val="superscript"/>
        </w:rPr>
        <w:t>th</w:t>
      </w:r>
      <w:r>
        <w:rPr/>
        <w:t xml:space="preserve"> December 1993 (as amended and supplemented by amending agreements entered into on 2</w:t>
      </w:r>
      <w:r>
        <w:rPr>
          <w:vertAlign w:val="superscript"/>
        </w:rPr>
        <w:t>nd</w:t>
      </w:r>
      <w:r>
        <w:rPr/>
        <w:t xml:space="preserve"> February 1995, on 26</w:t>
      </w:r>
      <w:r>
        <w:rPr>
          <w:vertAlign w:val="superscript"/>
        </w:rPr>
        <w:t>th</w:t>
      </w:r>
      <w:r>
        <w:rPr/>
        <w:t xml:space="preserve"> July 1996 and on 9</w:t>
      </w:r>
      <w:r>
        <w:rPr>
          <w:vertAlign w:val="superscript"/>
        </w:rPr>
        <w:t>th</w:t>
      </w:r>
      <w:r>
        <w:rPr/>
        <w:t xml:space="preserve"> December 1998, respectively) (“the PPA” and “the MSEB”, respectively).</w:t>
      </w:r>
    </w:p>
    <w:p>
      <w:pPr>
        <w:pStyle w:val="Recitals"/>
        <w:numPr>
          <w:ilvl w:val="0"/>
          <w:numId w:val="3"/>
        </w:numPr>
        <w:ind w:hanging="0" w:start="0"/>
        <w:rPr/>
      </w:pPr>
      <w:r>
        <w:rPr>
          <w:u w:val="single"/>
        </w:rPr>
        <w:t>Names and Addresses of the Parties</w:t>
      </w:r>
    </w:p>
    <w:p>
      <w:pPr>
        <w:pStyle w:val="1LevelPara"/>
        <w:numPr>
          <w:ilvl w:val="0"/>
          <w:numId w:val="18"/>
        </w:numPr>
        <w:ind w:hanging="0" w:start="0"/>
        <w:rPr/>
      </w:pPr>
      <w:r>
        <w:rPr/>
        <w:t>(1)</w:t>
        <w:tab/>
        <w:t>The Claimant is the Dabhol Power Company, a private company with unlimited liability incorporated in India under the Companies Act 1956, whose registered office and address is at Enron Centre, Plot No. C-2, G Block, Bandra-Kurla Complex, Bandra East, Mumbai - 400 051, India.</w:t>
      </w:r>
    </w:p>
    <w:p>
      <w:pPr>
        <w:pStyle w:val="1LevelPara"/>
        <w:numPr>
          <w:ilvl w:val="0"/>
          <w:numId w:val="0"/>
        </w:numPr>
        <w:ind w:hanging="0" w:start="720" w:end="0"/>
        <w:rPr/>
      </w:pPr>
      <w:r>
        <w:rPr/>
        <w:t>(2)</w:t>
        <w:tab/>
        <w:t>The Respondent is The Union of India, acting through the Ministry of Finance (Government of India), of North Block, Central Secretariat, New Delhi 110001, India.</w:t>
      </w:r>
    </w:p>
    <w:p>
      <w:pPr>
        <w:pStyle w:val="Recitals"/>
        <w:numPr>
          <w:ilvl w:val="0"/>
          <w:numId w:val="3"/>
        </w:numPr>
        <w:ind w:hanging="0" w:start="0"/>
        <w:rPr/>
      </w:pPr>
      <w:r>
        <w:rPr>
          <w:u w:val="single"/>
        </w:rPr>
        <w:t>Arbitration Agreement Invoked</w:t>
      </w:r>
    </w:p>
    <w:p>
      <w:pPr>
        <w:pStyle w:val="1LevelPara"/>
        <w:numPr>
          <w:ilvl w:val="0"/>
          <w:numId w:val="18"/>
        </w:numPr>
        <w:ind w:hanging="0" w:start="0" w:end="0"/>
        <w:rPr/>
      </w:pPr>
      <w:r>
        <w:rPr/>
        <w:t>The arbitration agreement which is invoked by the Claimant is set out in Clause 13(b) of the GOI Guarantee. The text of the arbitration agreement set out in Clause 13(b) of the GOI Guarantee is set out in the Annexure to this Notice of Arbitration. The parties to the GOI Guarantee have not entered into any agreement which provides that any arbitral proceeding begun pursuant to Clause 13(b) of the GOI Guarantee shall be held at any place other than London, or, that any such proceeding shall be conducted in any language other than the English language.</w:t>
      </w:r>
    </w:p>
    <w:p>
      <w:pPr>
        <w:pStyle w:val="Recitals"/>
        <w:numPr>
          <w:ilvl w:val="0"/>
          <w:numId w:val="3"/>
        </w:numPr>
        <w:ind w:hanging="0" w:start="0"/>
        <w:rPr/>
      </w:pPr>
      <w:r>
        <w:rPr>
          <w:u w:val="single"/>
        </w:rPr>
        <w:t>The Contract</w:t>
      </w:r>
    </w:p>
    <w:p>
      <w:pPr>
        <w:pStyle w:val="1LevelPara"/>
        <w:numPr>
          <w:ilvl w:val="0"/>
          <w:numId w:val="18"/>
        </w:numPr>
        <w:ind w:hanging="0" w:start="0" w:end="0"/>
        <w:rPr/>
      </w:pPr>
      <w:r>
        <w:rPr/>
        <w:t>The contract out of or in connection with which the Disputes have arisen is the GOI Guarantee.</w:t>
      </w:r>
    </w:p>
    <w:p>
      <w:pPr>
        <w:pStyle w:val="Recitals"/>
        <w:numPr>
          <w:ilvl w:val="0"/>
          <w:numId w:val="3"/>
        </w:numPr>
        <w:ind w:hanging="0" w:start="0"/>
        <w:rPr/>
      </w:pPr>
      <w:r>
        <w:rPr>
          <w:u w:val="single"/>
        </w:rPr>
        <w:t>General Nature of the Claim and the Relief or Remedy Sought</w:t>
      </w:r>
    </w:p>
    <w:p>
      <w:pPr>
        <w:pStyle w:val="1LevelPara"/>
        <w:numPr>
          <w:ilvl w:val="0"/>
          <w:numId w:val="18"/>
        </w:numPr>
        <w:ind w:hanging="0" w:start="0" w:end="0"/>
        <w:rPr/>
      </w:pPr>
      <w:r>
        <w:rPr/>
        <w:t xml:space="preserve">In compliance with the provisions of Articles 3(3)(e) and 3(3)(f) of the UNCITRAL Arbitration Rules, in paragraphs 7 to 11 below the Claimant identifies the Disputes referred to arbitration (paragraphs 7 to 11 below), sets out the general nature of the claim (paragraph 9 below), indicates the amount involved in the claim (paragraph 10 below) and describes the relief or remedy sought by it (paragraph 11 below). The Claimant’s claim herein and the relief or remedy sought by it will be particularised in due course in its Statement of Claim herein served in accordance with Article 18 of the UNCITRAL Arbitration Rules. </w:t>
      </w:r>
    </w:p>
    <w:p>
      <w:pPr>
        <w:pStyle w:val="Recitals"/>
        <w:numPr>
          <w:ilvl w:val="0"/>
          <w:numId w:val="0"/>
        </w:numPr>
        <w:ind w:firstLine="720" w:start="-720" w:end="0"/>
        <w:rPr>
          <w:b w:val="false"/>
        </w:rPr>
      </w:pPr>
      <w:r>
        <w:rPr>
          <w:b w:val="false"/>
        </w:rPr>
        <w:t>(1)</w:t>
        <w:tab/>
      </w:r>
      <w:r>
        <w:rPr>
          <w:b w:val="false"/>
          <w:u w:val="single"/>
        </w:rPr>
        <w:t>Facts constituting the Background to the Disputes and the Claim</w:t>
      </w:r>
    </w:p>
    <w:p>
      <w:pPr>
        <w:pStyle w:val="1LevelPara"/>
        <w:numPr>
          <w:ilvl w:val="0"/>
          <w:numId w:val="18"/>
        </w:numPr>
        <w:ind w:hanging="0" w:start="0"/>
        <w:rPr/>
      </w:pPr>
      <w:r>
        <w:rPr/>
        <w:t>(1)</w:t>
        <w:tab/>
        <w:t>On or about 5</w:t>
      </w:r>
      <w:r>
        <w:rPr>
          <w:vertAlign w:val="superscript"/>
        </w:rPr>
        <w:t>th</w:t>
      </w:r>
      <w:r>
        <w:rPr/>
        <w:t xml:space="preserve"> January 2001, the Claimant delivered a monthly billing statement (bearing the same date) to the MSEB prepared in accordance with Clause 11 of the PPA and relating to the month of December 2000 (“the December 2000 Bill”), in terms of which the sum of Rs. 1,598,624,888.53 became due to the Claimant on that date in accordance with the provisions of the PPA. The sum of Rs. 1,598,624,888.53 became payable to the Claimant on 25</w:t>
      </w:r>
      <w:r>
        <w:rPr>
          <w:vertAlign w:val="superscript"/>
        </w:rPr>
        <w:t>th</w:t>
      </w:r>
      <w:r>
        <w:rPr/>
        <w:t xml:space="preserve"> January 2001 in accordance with the provisions of Clause 11.2(f) of the PPA.</w:t>
      </w:r>
    </w:p>
    <w:p>
      <w:pPr>
        <w:pStyle w:val="1LevelPara"/>
        <w:numPr>
          <w:ilvl w:val="0"/>
          <w:numId w:val="0"/>
        </w:numPr>
        <w:ind w:hanging="0" w:start="720" w:end="0"/>
        <w:rPr/>
      </w:pPr>
      <w:r>
        <w:rPr/>
        <w:t>(2)</w:t>
        <w:tab/>
        <w:t>The sum of Rs. 1,598,624,888.53 was not paid to the Claimant by the MSEB on the due date for the payment of the December 2000 Bill in accordance with Clause 11.2(f) of the PPA, namely, on 25</w:t>
      </w:r>
      <w:r>
        <w:rPr>
          <w:vertAlign w:val="superscript"/>
        </w:rPr>
        <w:t>th</w:t>
      </w:r>
      <w:r>
        <w:rPr/>
        <w:t xml:space="preserve"> January 2001.</w:t>
      </w:r>
    </w:p>
    <w:p>
      <w:pPr>
        <w:pStyle w:val="1LevelPara"/>
        <w:numPr>
          <w:ilvl w:val="0"/>
          <w:numId w:val="0"/>
        </w:numPr>
        <w:ind w:hanging="0" w:start="720" w:end="0"/>
        <w:rPr/>
      </w:pPr>
      <w:r>
        <w:rPr/>
        <w:t>(3)</w:t>
        <w:tab/>
        <w:t>On or about 6</w:t>
      </w:r>
      <w:r>
        <w:rPr>
          <w:vertAlign w:val="superscript"/>
        </w:rPr>
        <w:t>th</w:t>
      </w:r>
      <w:r>
        <w:rPr/>
        <w:t xml:space="preserve"> February 2001 (by a letter dated 5</w:t>
      </w:r>
      <w:r>
        <w:rPr>
          <w:vertAlign w:val="superscript"/>
        </w:rPr>
        <w:t>th</w:t>
      </w:r>
      <w:r>
        <w:rPr/>
        <w:t xml:space="preserve"> February 2001), the Claimant made demand upon the State of Maharashtra (“the GOM”) for the payment of the sum of Rs. 1,528,665,213.38 pursuant to the provisions of the Guarantee of the State of Maharashtra in favour of the Claimant of 10</w:t>
      </w:r>
      <w:r>
        <w:rPr>
          <w:vertAlign w:val="superscript"/>
        </w:rPr>
        <w:t>th</w:t>
      </w:r>
      <w:r>
        <w:rPr/>
        <w:t xml:space="preserve"> February 1994 (as amended in terms of Clause 11.4 of a State Support Agreement amongst the same parties dated 24</w:t>
      </w:r>
      <w:r>
        <w:rPr>
          <w:vertAlign w:val="superscript"/>
        </w:rPr>
        <w:t>th</w:t>
      </w:r>
      <w:r>
        <w:rPr/>
        <w:t xml:space="preserve"> June 1994) (“the GOM Guarantee”).</w:t>
      </w:r>
    </w:p>
    <w:p>
      <w:pPr>
        <w:pStyle w:val="1LevelPara"/>
        <w:numPr>
          <w:ilvl w:val="0"/>
          <w:numId w:val="0"/>
        </w:numPr>
        <w:ind w:hanging="0" w:start="720" w:end="0"/>
        <w:rPr/>
      </w:pPr>
      <w:r>
        <w:rPr/>
        <w:t>(4)</w:t>
        <w:tab/>
        <w:t>On or about 7</w:t>
      </w:r>
      <w:r>
        <w:rPr>
          <w:vertAlign w:val="superscript"/>
        </w:rPr>
        <w:t>th</w:t>
      </w:r>
      <w:r>
        <w:rPr/>
        <w:t xml:space="preserve"> February 2001, the Claimant delivered a monthly billing statement (bearing the same date) to the MSEB prepared in accordance with Clause 11 of the PPA and relating to the month of January 2001 (“the January 2001 Bill”), in terms of which the sum of Rs. 1,275,119,292.58 became due to the Claimant on that date, in accordance with the provisions of the PPA. The sum of Rs. 1,275,119,292.58 became payable to the Claimant on 26</w:t>
      </w:r>
      <w:r>
        <w:rPr>
          <w:vertAlign w:val="superscript"/>
        </w:rPr>
        <w:t>th</w:t>
      </w:r>
      <w:r>
        <w:rPr/>
        <w:t xml:space="preserve"> February 2001 in accordance with the provisions of Clause 11.2(f) of the PPA.</w:t>
      </w:r>
    </w:p>
    <w:p>
      <w:pPr>
        <w:pStyle w:val="1LevelPara"/>
        <w:numPr>
          <w:ilvl w:val="0"/>
          <w:numId w:val="0"/>
        </w:numPr>
        <w:ind w:hanging="0" w:start="720" w:end="0"/>
        <w:rPr/>
      </w:pPr>
      <w:r>
        <w:rPr/>
        <w:t>(5)</w:t>
        <w:tab/>
        <w:t>The GOM failed to pay to the Claimant the sum of Rs. 1,528,665,213.38 demanded of it by the Claimant under the GOM Guarantee on the due date for the payment of that sum in accordance with Clause 1 of the GOM Guarantee, namely, on 13</w:t>
      </w:r>
      <w:r>
        <w:rPr>
          <w:vertAlign w:val="superscript"/>
        </w:rPr>
        <w:t>th</w:t>
      </w:r>
      <w:r>
        <w:rPr/>
        <w:t xml:space="preserve"> February 2001.</w:t>
      </w:r>
    </w:p>
    <w:p>
      <w:pPr>
        <w:pStyle w:val="1LevelPara"/>
        <w:numPr>
          <w:ilvl w:val="0"/>
          <w:numId w:val="0"/>
        </w:numPr>
        <w:ind w:hanging="0" w:start="720" w:end="0"/>
        <w:rPr/>
      </w:pPr>
      <w:r>
        <w:rPr/>
        <w:t>(6)</w:t>
        <w:tab/>
        <w:t>On or about 23</w:t>
      </w:r>
      <w:r>
        <w:rPr>
          <w:vertAlign w:val="superscript"/>
        </w:rPr>
        <w:t>rd</w:t>
      </w:r>
      <w:r>
        <w:rPr/>
        <w:t xml:space="preserve"> February 2001, the MSEB paid the sum of Rs. 508,665,213 to the Claimant on account of the sum of Rs. 1,528,665,213.38 owed by it to the Claimant under and pursuant to the December 2000 Bill.</w:t>
      </w:r>
    </w:p>
    <w:p>
      <w:pPr>
        <w:pStyle w:val="1LevelPara"/>
        <w:numPr>
          <w:ilvl w:val="0"/>
          <w:numId w:val="0"/>
        </w:numPr>
        <w:ind w:hanging="0" w:start="720" w:end="0"/>
        <w:rPr/>
      </w:pPr>
      <w:r>
        <w:rPr/>
        <w:t>(7)</w:t>
        <w:tab/>
        <w:t>The MSEB failed to pay the sum of Rs. 1,275,119,292.58 which was due and payable to the Claimant by the MSEB under the PPA and in terms of the January 2001 Bill on 26</w:t>
      </w:r>
      <w:r>
        <w:rPr>
          <w:vertAlign w:val="superscript"/>
        </w:rPr>
        <w:t>th</w:t>
      </w:r>
      <w:r>
        <w:rPr/>
        <w:t xml:space="preserve"> February 2001 on that date or subsequently. By a letter to the Claimant dated 28</w:t>
      </w:r>
      <w:r>
        <w:rPr>
          <w:vertAlign w:val="superscript"/>
        </w:rPr>
        <w:t>th</w:t>
      </w:r>
      <w:r>
        <w:rPr/>
        <w:t xml:space="preserve"> February 2001 the MSEB asserted that it was entitled to rebates in the calculation of the January 2001 Bill for Available Base Load Capacity and Available Peak Load Capacity totalling Rs. 4,012,374,935 and that under the January 2001 Bill a sum of Rs. 2,490,261,372.74 was due and owing to it by the Claimant. The Claimant disputes the MSEB’s asserted entitlement to rebates in the calculation of the January 2001 Bill. On or about 2</w:t>
      </w:r>
      <w:r>
        <w:rPr>
          <w:vertAlign w:val="superscript"/>
        </w:rPr>
        <w:t>nd</w:t>
      </w:r>
      <w:r>
        <w:rPr/>
        <w:t xml:space="preserve"> March 2001 (by a notice bearing the same date) the Claimant referred that dispute between it and the MSEB to the dispute resolution procedures set out in Clause 20.2 of the PPA.</w:t>
      </w:r>
    </w:p>
    <w:p>
      <w:pPr>
        <w:pStyle w:val="1LevelPara"/>
        <w:numPr>
          <w:ilvl w:val="0"/>
          <w:numId w:val="0"/>
        </w:numPr>
        <w:ind w:hanging="0" w:start="720" w:end="0"/>
        <w:rPr/>
      </w:pPr>
      <w:r>
        <w:rPr/>
        <w:t>(8)</w:t>
        <w:tab/>
        <w:t>On or about 8</w:t>
      </w:r>
      <w:r>
        <w:rPr>
          <w:vertAlign w:val="superscript"/>
        </w:rPr>
        <w:t>th</w:t>
      </w:r>
      <w:r>
        <w:rPr/>
        <w:t xml:space="preserve"> March 2001 (by a letter dated 7</w:t>
      </w:r>
      <w:r>
        <w:rPr>
          <w:vertAlign w:val="superscript"/>
        </w:rPr>
        <w:t>th</w:t>
      </w:r>
      <w:r>
        <w:rPr/>
        <w:t xml:space="preserve"> March 2001), the Claimant made demand upon the Respondent pursuant to the provisions of the GOI Guarantee for the payment of the sum of Rs. 1,020,000,000.00 (representing the unpaid balance of the sum of Rs. 1,528,665,213.38 due and payable to the Claimant by the MSEB under the PPA and in terms of the December 2000 Bill), which sum had been demanded by the Claimant of the GOM on 6</w:t>
      </w:r>
      <w:r>
        <w:rPr>
          <w:vertAlign w:val="superscript"/>
        </w:rPr>
        <w:t>th</w:t>
      </w:r>
      <w:r>
        <w:rPr/>
        <w:t xml:space="preserve"> February 2001, pursuant to the provisions of the GOM Guarantee, but which the GOM had failed to pay on the due date for payment thereunder or otherwise.</w:t>
      </w:r>
    </w:p>
    <w:p>
      <w:pPr>
        <w:pStyle w:val="1LevelPara"/>
        <w:numPr>
          <w:ilvl w:val="0"/>
          <w:numId w:val="0"/>
        </w:numPr>
        <w:ind w:hanging="0" w:start="720" w:end="0"/>
        <w:rPr/>
      </w:pPr>
      <w:r>
        <w:rPr/>
        <w:t>(9)</w:t>
        <w:tab/>
        <w:t>By a letter dated 31</w:t>
      </w:r>
      <w:r>
        <w:rPr>
          <w:vertAlign w:val="superscript"/>
        </w:rPr>
        <w:t>st</w:t>
      </w:r>
      <w:r>
        <w:rPr/>
        <w:t xml:space="preserve"> March 2001, the Respondent informed the Claimant that it would not pay to the Claimant the sum of Rs. 1,020,000,000.00, demanded by the Claimant of it on 8</w:t>
      </w:r>
      <w:r>
        <w:rPr>
          <w:vertAlign w:val="superscript"/>
        </w:rPr>
        <w:t>th</w:t>
      </w:r>
      <w:r>
        <w:rPr/>
        <w:t xml:space="preserve"> March 2001 pursuant to the provisions of the GOI Guarantee.</w:t>
      </w:r>
    </w:p>
    <w:p>
      <w:pPr>
        <w:pStyle w:val="Recitals"/>
        <w:numPr>
          <w:ilvl w:val="0"/>
          <w:numId w:val="0"/>
        </w:numPr>
        <w:ind w:firstLine="720" w:start="-720" w:end="0"/>
        <w:rPr>
          <w:b w:val="false"/>
        </w:rPr>
      </w:pPr>
      <w:r>
        <w:rPr>
          <w:b w:val="false"/>
        </w:rPr>
        <w:t>(2)</w:t>
        <w:tab/>
      </w:r>
      <w:r>
        <w:rPr>
          <w:b w:val="false"/>
          <w:u w:val="single"/>
        </w:rPr>
        <w:t>Disputes Referred to Arbitration</w:t>
      </w:r>
    </w:p>
    <w:p>
      <w:pPr>
        <w:pStyle w:val="1LevelPara"/>
        <w:numPr>
          <w:ilvl w:val="0"/>
          <w:numId w:val="18"/>
        </w:numPr>
        <w:ind w:hanging="0" w:start="0"/>
        <w:rPr/>
      </w:pPr>
      <w:r>
        <w:rPr/>
        <w:t>(1)</w:t>
        <w:tab/>
        <w:t>Whether any (and, if so, what) sum is due and payable by the Respondent to the Claimant in pursuance of the written demand made by the Claimant of the Respondent pursuant to the provisions of the GOI Guarantee on 8</w:t>
      </w:r>
      <w:r>
        <w:rPr>
          <w:vertAlign w:val="superscript"/>
        </w:rPr>
        <w:t>th</w:t>
      </w:r>
      <w:r>
        <w:rPr/>
        <w:t xml:space="preserve"> March 2001.</w:t>
      </w:r>
    </w:p>
    <w:p>
      <w:pPr>
        <w:pStyle w:val="1LevelPara"/>
        <w:numPr>
          <w:ilvl w:val="0"/>
          <w:numId w:val="0"/>
        </w:numPr>
        <w:ind w:hanging="0" w:start="720" w:end="0"/>
        <w:rPr/>
      </w:pPr>
      <w:r>
        <w:rPr/>
        <w:t>(2)</w:t>
        <w:tab/>
        <w:t>What is requisite in order that a sum be validly due to the Claimant under the PPA in respect of the Capacity Payments and/or the Energy Payments relating to Phase I for the purposes of Clause 1 of the GOI Guarantee, and, accordingly, that it be payable by the Respondent to the Claimant (upon demand having been made therefor upon the persons and in the manner required by Clause 1 of the GOI Guarantee).</w:t>
      </w:r>
    </w:p>
    <w:p>
      <w:pPr>
        <w:pStyle w:val="1LevelPara"/>
        <w:numPr>
          <w:ilvl w:val="0"/>
          <w:numId w:val="0"/>
        </w:numPr>
        <w:ind w:hanging="720" w:start="1440" w:end="0"/>
        <w:rPr/>
      </w:pPr>
      <w:r>
        <w:rPr/>
        <w:t>(3)</w:t>
        <w:tab/>
        <w:t>(a)</w:t>
        <w:tab/>
        <w:t xml:space="preserve">Whether any term or condition (whether precedent, subsequent or other in nature) of the GOI Guarantee requires to be satisfied, fulfilled or performed by the Claimant in order that the Claimant be entitled to the payment of any sum demanded of the Respondent pursuant to the provisions of the GOI Guarantee, assuming that (a) the sum so demanded (i) be a sum validly due to the Claimant by the MSEB under the PPA and (ii) be a sum in respect of the Capacity Payments and/or the Energy Payments relating to Phase I (in each case, in accordance with the provisions of Clause 1 of the GOI Guarantee), (b) the Claimant has made demand for such sum of the GOM under the GOM Guarantee and the GOM has failed to pay such sum to the Claimant in pursuance of the GOM Guarantee and (c) the Claimant has made demand of the Respondent in accordance with the provisions of Clause 1 of the GOI Guarantee. </w:t>
      </w:r>
    </w:p>
    <w:p>
      <w:pPr>
        <w:pStyle w:val="3LevelPara"/>
        <w:numPr>
          <w:ilvl w:val="0"/>
          <w:numId w:val="0"/>
        </w:numPr>
        <w:ind w:hanging="0" w:start="1440" w:end="0"/>
        <w:rPr/>
      </w:pPr>
      <w:r>
        <w:rPr/>
        <w:t>(b)</w:t>
        <w:tab/>
        <w:t>If so, what any such term or condition consists in and by what means is it required to be satisfied, fulfilled or performed by the Claimant.</w:t>
      </w:r>
    </w:p>
    <w:p>
      <w:pPr>
        <w:pStyle w:val="1LevelPara"/>
        <w:numPr>
          <w:ilvl w:val="0"/>
          <w:numId w:val="0"/>
        </w:numPr>
        <w:ind w:hanging="0" w:start="720" w:end="0"/>
        <w:rPr/>
      </w:pPr>
      <w:r>
        <w:rPr/>
        <w:t>(4)</w:t>
        <w:tab/>
        <w:t>What (if any) defences are available to the Respondent under the GOI Guarantee in order that the Respondent may properly be entitled to decline or to refuse to pay any sum demanded of it by the Claimant pursuant to the provisions of the GOI Guarantee (or to pay a lesser sum) on the assumptions set out in sub-paragraph 8(3)(a) above.</w:t>
      </w:r>
    </w:p>
    <w:p>
      <w:pPr>
        <w:pStyle w:val="1LevelPara"/>
        <w:numPr>
          <w:ilvl w:val="0"/>
          <w:numId w:val="0"/>
        </w:numPr>
        <w:ind w:hanging="0" w:start="720" w:end="0"/>
        <w:rPr/>
      </w:pPr>
      <w:r>
        <w:rPr/>
        <w:t>(5)</w:t>
        <w:tab/>
        <w:t>Whether, under the GOI Guarantee or otherwise, the Respondent is entitled to decline or to refuse to pay any sum demanded of it by the Claimant pursuant to the provisions of the GOI Guarantee (or to pay a lesser sum) by reference to, or by reason of, the fact that (if such be the case) the MSEB has sought to dispute the accuracy of, or, its obligation to make payment to the Claimant of, the sum (or any part thereof) brought out as being due to the Claimant under the relevant monthly billing statement (or any part or item thereof) prepared and delivered by the Claimant to the MSEB pursuant to Clause 11.1 of the PPA (pursuant to which monthly billing statement the sum demanded by the Claimant of the Respondent is alleged by the Claimant to have become due to it under the PPA), and, any such dispute had arisen and/or if it had arisen, it remained unresolved and undetermined, prior to the date upon which the Claimant made demand of the GOM under the GOM Guarantee and/or the date upon which the Claimant made demand of the Respondent under the GOI Guarantee.</w:t>
      </w:r>
    </w:p>
    <w:p>
      <w:pPr>
        <w:pStyle w:val="1LevelPara"/>
        <w:numPr>
          <w:ilvl w:val="0"/>
          <w:numId w:val="0"/>
        </w:numPr>
        <w:ind w:hanging="0" w:start="720" w:end="0"/>
        <w:rPr/>
      </w:pPr>
      <w:r>
        <w:rPr/>
        <w:t>(6)</w:t>
        <w:tab/>
        <w:t>Whether, under the GOI Guarantee or otherwise, the Respondent is entitled to decline or to refuse to pay any sum demanded of it by the Claimant pursuant to the provisions of the GOI Guarantee (or to pay a lesser sum) by reference to, or by reason of, any dispute such as is referred to in sub-paragraph 8(5) above in circumstances where (a) the sum demanded by the Claimant of the Respondent under the GOI Guarantee arises under a monthly billing statement relating to one calendar month (in respect of which no dispute has arisen as between the Claimant and the MSEB as to the sum in question) and (b) the dispute between the Claimant and the MSEB relates to the calculation of, or, the sum properly due to or by the Claimant or the MSEB (as the case may be) in terms of, a monthly billing statement relating to another calendar month.</w:t>
      </w:r>
    </w:p>
    <w:p>
      <w:pPr>
        <w:pStyle w:val="1LevelPara"/>
        <w:numPr>
          <w:ilvl w:val="0"/>
          <w:numId w:val="0"/>
        </w:numPr>
        <w:ind w:hanging="720" w:start="1440" w:end="0"/>
        <w:rPr/>
      </w:pPr>
      <w:r>
        <w:rPr/>
        <w:t>(7)</w:t>
        <w:tab/>
        <w:t>(a)</w:t>
        <w:tab/>
        <w:t>Whether, under the GOI Guarantee or otherwise, the Respondent is entitled to exercise any right of set-off, deduction or withholding as against any sum demanded of it by the Claimant under the GOI Guarantee by reference to, or by reason of, any sum which may be alleged by the MSEB to be due and owing to it by the Claimant under the PPA but which has not been paid by the Claimant to the MSEB and/or has not been admitted by the Claimant to be due and owing by it to the MSEB under the PPA and/or has not been determined to be due and owing to the MSEB under the PPA by means of an arbitral award made pursuant to Clause 20.3 of the PPA.</w:t>
      </w:r>
    </w:p>
    <w:p>
      <w:pPr>
        <w:pStyle w:val="3LevelPara"/>
        <w:numPr>
          <w:ilvl w:val="0"/>
          <w:numId w:val="0"/>
        </w:numPr>
        <w:ind w:hanging="0" w:start="1440" w:end="0"/>
        <w:rPr/>
      </w:pPr>
      <w:r>
        <w:rPr/>
        <w:t>(b)</w:t>
        <w:tab/>
        <w:t>Whether, under the GOI Guarantee or otherwise, the Respondent is entitled to exercise the right of set-off, deduction or withholding as against any sum demanded of it by the Claimant under the GOI Guarantee, by reference to, or by reason of, any purported adjustment made by the MSEB and/or by the GOM of, or against, any monthly billing statement prepared and delivered by the Claimant to the MSEB pursuant to Clause 11.1 of the PPA and/or as against the sum brought out as being due to the Claimant in terms of any such monthly billing statement, such as is referred to in paragraph 5 of the Respondent’s letter to the Claimant dated 31</w:t>
      </w:r>
      <w:r>
        <w:rPr>
          <w:vertAlign w:val="superscript"/>
        </w:rPr>
        <w:t>st</w:t>
      </w:r>
      <w:r>
        <w:rPr/>
        <w:t xml:space="preserve"> March 2001.</w:t>
      </w:r>
    </w:p>
    <w:p>
      <w:pPr>
        <w:pStyle w:val="3LevelPara"/>
        <w:numPr>
          <w:ilvl w:val="0"/>
          <w:numId w:val="0"/>
        </w:numPr>
        <w:ind w:hanging="0" w:start="1440" w:end="0"/>
        <w:rPr/>
      </w:pPr>
      <w:r>
        <w:rPr/>
        <w:t>(c)</w:t>
        <w:tab/>
        <w:t>Whether Clause 6(a) of the GOI Guarantee excludes any right otherwise exercisable by the Respondent to set-off, to make deduction or to withhold any sum otherwise payable by it to the Claimant pursuant to the GOI Guarantee (upon the assumptions set out in sub-paragraph 8(3)(a) above), save in so far as any deduction or withholding required of the Respondent by Indian law (and, as to that proviso, to what extent and in what circumstances).</w:t>
      </w:r>
    </w:p>
    <w:p>
      <w:pPr>
        <w:pStyle w:val="3LevelPara"/>
        <w:numPr>
          <w:ilvl w:val="0"/>
          <w:numId w:val="0"/>
        </w:numPr>
        <w:ind w:hanging="0" w:start="1440" w:end="0"/>
        <w:rPr/>
      </w:pPr>
      <w:r>
        <w:rPr/>
        <w:t>(d)</w:t>
        <w:tab/>
        <w:t>In the event that the answer to any of the issues set out in sub-paragraph 8(7)(a) and/or 8(7)(b) and/or 8(7)(c) above is in the affirmative, in what circumstances, in what amount and upon what terms or conditions may any such right of set-off, deduction or withholding be exercised by the Respondent.</w:t>
      </w:r>
    </w:p>
    <w:p>
      <w:pPr>
        <w:pStyle w:val="1LevelPara"/>
        <w:numPr>
          <w:ilvl w:val="0"/>
          <w:numId w:val="0"/>
        </w:numPr>
        <w:ind w:hanging="0" w:start="720" w:end="0"/>
        <w:rPr/>
      </w:pPr>
      <w:r>
        <w:rPr/>
        <w:t>(8)</w:t>
        <w:tab/>
        <w:t>Whether any dispute or difference which may arise as between the Claimant and the MSEB with respect to any monthly billing statement prepared and delivered by the Claimant to the MSEB pursuant to Clause 11.1 of the PPA and/or as to the amount due and owing to the Claimant in terms thereof, such as is referred to in paragraph 6 of the Respondent’s letter to the Claimant dated 31st March 2001, or, of any other nature, has any of the following consequences (in the event that the Claimant makes demand of the Respondent under the GOI Guarantee for the payment of the sum brought out as being due to Claimant in terms of the relevant monthly billing statement):</w:t>
      </w:r>
    </w:p>
    <w:p>
      <w:pPr>
        <w:pStyle w:val="3LevelPara"/>
        <w:numPr>
          <w:ilvl w:val="0"/>
          <w:numId w:val="0"/>
        </w:numPr>
        <w:ind w:hanging="0" w:start="1440" w:end="0"/>
        <w:rPr/>
      </w:pPr>
      <w:r>
        <w:rPr/>
        <w:t>(a)</w:t>
        <w:tab/>
        <w:t>the sum brought out as being due to the Claimant in terms of the relevant monthly billing statement is not one which is (in whole or in part) validly due to the Claimant under the PPA for the purposes of Clause 1 of the GOI Guarantee; and/or</w:t>
      </w:r>
    </w:p>
    <w:p>
      <w:pPr>
        <w:pStyle w:val="3LevelPara"/>
        <w:numPr>
          <w:ilvl w:val="0"/>
          <w:numId w:val="0"/>
        </w:numPr>
        <w:ind w:hanging="0" w:start="1440" w:end="0"/>
        <w:rPr/>
      </w:pPr>
      <w:r>
        <w:rPr/>
        <w:t>(b)</w:t>
        <w:tab/>
        <w:t>any condition precedent to the Claimant’s right to makes demand of the Respondent for the payment of such sum (or any part thereof) has not been fulfilled or satisfied; and/or</w:t>
      </w:r>
    </w:p>
    <w:p>
      <w:pPr>
        <w:pStyle w:val="3LevelPara"/>
        <w:numPr>
          <w:ilvl w:val="0"/>
          <w:numId w:val="0"/>
        </w:numPr>
        <w:ind w:hanging="0" w:start="1440" w:end="0"/>
        <w:rPr/>
      </w:pPr>
      <w:r>
        <w:rPr/>
        <w:t>(c)</w:t>
        <w:tab/>
        <w:t>the Respondent is otherwise not obliged under the GOI Guarantee to pay to the Claimant the sum demand of it (in whole or in part).</w:t>
      </w:r>
    </w:p>
    <w:p>
      <w:pPr>
        <w:pStyle w:val="1LevelPara"/>
        <w:numPr>
          <w:ilvl w:val="0"/>
          <w:numId w:val="0"/>
        </w:numPr>
        <w:ind w:hanging="0" w:start="720" w:end="0"/>
        <w:rPr/>
      </w:pPr>
      <w:r>
        <w:rPr/>
        <w:t>(9)</w:t>
        <w:tab/>
        <w:t>Whether, in the event that the GOM is obliged to pay to the Claimant any sum demanded of it by the Claimant pursuant to the provisions of the GOM Guarantee, the Respondent, upon the assumptions set out in sub-paragraph 8(3)(a) above, has any defence to the payment of such sum to the Claimant (upon demand being made of it by the Claimant in accordance with the provisions of the GOI Guarantee), and, if so, what any such defence consists in.</w:t>
      </w:r>
    </w:p>
    <w:p>
      <w:pPr>
        <w:pStyle w:val="1LevelPara"/>
        <w:numPr>
          <w:ilvl w:val="0"/>
          <w:numId w:val="0"/>
        </w:numPr>
        <w:ind w:hanging="0" w:start="720" w:end="0"/>
        <w:rPr/>
      </w:pPr>
      <w:r>
        <w:rPr/>
        <w:t>(10)</w:t>
        <w:tab/>
        <w:t>What is the proper construction or effect of Clause 10(b) of the GOI Guarantee generally, and, in the events which have occurred as set out in paragraph 7 above.</w:t>
      </w:r>
    </w:p>
    <w:p>
      <w:pPr>
        <w:pStyle w:val="1LevelPara"/>
        <w:numPr>
          <w:ilvl w:val="0"/>
          <w:numId w:val="0"/>
        </w:numPr>
        <w:ind w:hanging="0" w:start="720" w:end="0"/>
        <w:rPr/>
      </w:pPr>
      <w:r>
        <w:rPr/>
        <w:t>(11)</w:t>
        <w:tab/>
        <w:t>Whether the Respondent was or is entitled to decline or to refuse to pay the sum of Rs. 1,020,000,000.00 demanded of it by the Claimant pursuant to the provisions of the GOI Guarantee on 8</w:t>
      </w:r>
      <w:r>
        <w:rPr>
          <w:vertAlign w:val="superscript"/>
        </w:rPr>
        <w:t>th</w:t>
      </w:r>
      <w:r>
        <w:rPr/>
        <w:t xml:space="preserve"> March 2001.</w:t>
      </w:r>
    </w:p>
    <w:p>
      <w:pPr>
        <w:pStyle w:val="1LevelPara"/>
        <w:numPr>
          <w:ilvl w:val="0"/>
          <w:numId w:val="0"/>
        </w:numPr>
        <w:ind w:hanging="720" w:start="1440" w:end="0"/>
        <w:rPr/>
      </w:pPr>
      <w:r>
        <w:rPr/>
        <w:t>(12)</w:t>
        <w:tab/>
        <w:t>(a)</w:t>
        <w:tab/>
        <w:t>Whether any of the facts, matters or contentions set out in the Respondent’s letter to the Claimant dated 31</w:t>
      </w:r>
      <w:r>
        <w:rPr>
          <w:vertAlign w:val="superscript"/>
        </w:rPr>
        <w:t>st</w:t>
      </w:r>
      <w:r>
        <w:rPr/>
        <w:t xml:space="preserve"> March 2001 entitled the Respondent to decline or to refuse to pay the sum of Rs. 1,020,000,000.00 demanded of it by the Claimant pursuant to the provisions of the GOI Guarantee on 8</w:t>
      </w:r>
      <w:r>
        <w:rPr>
          <w:vertAlign w:val="superscript"/>
        </w:rPr>
        <w:t>th</w:t>
      </w:r>
      <w:r>
        <w:rPr/>
        <w:t xml:space="preserve"> March 2001.</w:t>
      </w:r>
    </w:p>
    <w:p>
      <w:pPr>
        <w:pStyle w:val="1LevelPara"/>
        <w:numPr>
          <w:ilvl w:val="0"/>
          <w:numId w:val="0"/>
        </w:numPr>
        <w:ind w:hanging="0" w:start="1440" w:end="0"/>
        <w:rPr/>
      </w:pPr>
      <w:r>
        <w:rPr/>
        <w:t>(b)</w:t>
        <w:tab/>
        <w:t>Whether any of the facts, matters or contentions set out in the letters, notices or other communications referred to in paragraphs 5 and 6 of the Respondent’s letter to the Claimant dated 31</w:t>
      </w:r>
      <w:r>
        <w:rPr>
          <w:vertAlign w:val="superscript"/>
        </w:rPr>
        <w:t>st</w:t>
      </w:r>
      <w:r>
        <w:rPr/>
        <w:t xml:space="preserve"> March 2001 and/or any other communications passing between the Respondent, on the one hand, and, the GOM and/or the MSEB, on the other, (when the same be disclosed in the course of the reference to arbitration herein) entitled the Respondent to decline or to refuse to pay the sum of Rs. 1,020,000,000.00 demanded of it by the Claimant pursuant to the provisions of the GOI Guarantee on 8</w:t>
      </w:r>
      <w:r>
        <w:rPr>
          <w:vertAlign w:val="superscript"/>
        </w:rPr>
        <w:t>th</w:t>
      </w:r>
      <w:r>
        <w:rPr/>
        <w:t xml:space="preserve"> March 2001.</w:t>
      </w:r>
    </w:p>
    <w:p>
      <w:pPr>
        <w:pStyle w:val="1LevelPara"/>
        <w:numPr>
          <w:ilvl w:val="0"/>
          <w:numId w:val="0"/>
        </w:numPr>
        <w:ind w:hanging="0" w:start="720" w:end="0"/>
        <w:rPr/>
      </w:pPr>
      <w:r>
        <w:rPr/>
        <w:t>(13)</w:t>
        <w:tab/>
        <w:t>All and each of the disputes and differences which have arisen (directly or indirectly) between the Claimant and the Respondent out of or in connection with any of the facts or matters set out or referred to in paragraph 7 above and/or the events which have occurred, as also set out in paragraph 7 above, including (without limitation) all such disputes and differences as are patent or are to be deduced from a comparison between the position of the Claimant as to its rights under the GOI Guarantee and the obligations of the Respondent thereunder (as set out in terms of two letters from Linklaters to the Claimant dated 21</w:t>
      </w:r>
      <w:r>
        <w:rPr>
          <w:vertAlign w:val="superscript"/>
        </w:rPr>
        <w:t>st</w:t>
      </w:r>
      <w:r>
        <w:rPr/>
        <w:t xml:space="preserve"> March 2001 and 28</w:t>
      </w:r>
      <w:r>
        <w:rPr>
          <w:vertAlign w:val="superscript"/>
        </w:rPr>
        <w:t>th</w:t>
      </w:r>
      <w:r>
        <w:rPr/>
        <w:t xml:space="preserve"> March 2001, respectively, and, two written advices to the Claimant by P. Chidambaram, Senior Advocate, dated 23</w:t>
      </w:r>
      <w:r>
        <w:rPr>
          <w:vertAlign w:val="superscript"/>
        </w:rPr>
        <w:t>rd</w:t>
      </w:r>
      <w:r>
        <w:rPr/>
        <w:t xml:space="preserve"> March 2001 and 28</w:t>
      </w:r>
      <w:r>
        <w:rPr>
          <w:vertAlign w:val="superscript"/>
        </w:rPr>
        <w:t>th</w:t>
      </w:r>
      <w:r>
        <w:rPr/>
        <w:t xml:space="preserve"> March 2001, respectively, copies of which documents were delivered to the Respondent), on the one hand, and, the position of the Respondent as to the same matters (as set out in terms of its letter to the Claimant dated 31</w:t>
      </w:r>
      <w:r>
        <w:rPr>
          <w:vertAlign w:val="superscript"/>
        </w:rPr>
        <w:t>st</w:t>
      </w:r>
      <w:r>
        <w:rPr/>
        <w:t xml:space="preserve"> March 2001), on the other.</w:t>
      </w:r>
    </w:p>
    <w:p>
      <w:pPr>
        <w:pStyle w:val="1LevelPara"/>
        <w:numPr>
          <w:ilvl w:val="0"/>
          <w:numId w:val="0"/>
        </w:numPr>
        <w:ind w:hanging="0" w:start="720" w:end="0"/>
        <w:rPr/>
      </w:pPr>
      <w:r>
        <w:rPr/>
        <w:t>(14)</w:t>
        <w:tab/>
        <w:t>The respective rights and obligations of the Claimant and the Respondent under or pursuant to the GOI Guarantee generally.</w:t>
      </w:r>
    </w:p>
    <w:p>
      <w:pPr>
        <w:pStyle w:val="Recitals"/>
        <w:numPr>
          <w:ilvl w:val="0"/>
          <w:numId w:val="0"/>
        </w:numPr>
        <w:ind w:firstLine="720" w:start="-720" w:end="0"/>
        <w:rPr>
          <w:b w:val="false"/>
        </w:rPr>
      </w:pPr>
      <w:r>
        <w:rPr>
          <w:b w:val="false"/>
        </w:rPr>
        <w:t>(3)</w:t>
        <w:tab/>
      </w:r>
      <w:r>
        <w:rPr>
          <w:b w:val="false"/>
          <w:u w:val="single"/>
        </w:rPr>
        <w:t>General Nature of the Claim</w:t>
      </w:r>
    </w:p>
    <w:p>
      <w:pPr>
        <w:pStyle w:val="1LevelPara"/>
        <w:numPr>
          <w:ilvl w:val="0"/>
          <w:numId w:val="18"/>
        </w:numPr>
        <w:ind w:hanging="0" w:start="0"/>
        <w:rPr/>
      </w:pPr>
      <w:r>
        <w:rPr/>
        <w:t>(1)</w:t>
        <w:tab/>
        <w:t>The Claimant claims payment of:</w:t>
      </w:r>
    </w:p>
    <w:p>
      <w:pPr>
        <w:pStyle w:val="1LevelPara"/>
        <w:numPr>
          <w:ilvl w:val="0"/>
          <w:numId w:val="0"/>
        </w:numPr>
        <w:ind w:hanging="0" w:start="1440" w:end="0"/>
        <w:rPr/>
      </w:pPr>
      <w:r>
        <w:rPr/>
        <w:t>(a)</w:t>
        <w:tab/>
        <w:t>the sum of Rs. 1,020,000,000.00; and,</w:t>
      </w:r>
    </w:p>
    <w:p>
      <w:pPr>
        <w:pStyle w:val="1LevelPara"/>
        <w:numPr>
          <w:ilvl w:val="0"/>
          <w:numId w:val="0"/>
        </w:numPr>
        <w:ind w:hanging="0" w:start="1440" w:end="0"/>
        <w:rPr/>
      </w:pPr>
      <w:r>
        <w:rPr/>
        <w:t>(b)</w:t>
        <w:tab/>
        <w:t>interest upon the sum of Rs. 1,020,000,000.00 from 23</w:t>
      </w:r>
      <w:r>
        <w:rPr>
          <w:vertAlign w:val="superscript"/>
        </w:rPr>
        <w:t>rd</w:t>
      </w:r>
      <w:r>
        <w:rPr/>
        <w:t xml:space="preserve"> March 2001 until payment to it (at the rates of interest set out in Clause 1 of the GOI Guarantee),</w:t>
      </w:r>
    </w:p>
    <w:p>
      <w:pPr>
        <w:pStyle w:val="1LevelPara"/>
        <w:numPr>
          <w:ilvl w:val="0"/>
          <w:numId w:val="0"/>
        </w:numPr>
        <w:ind w:hanging="0" w:start="720" w:end="0"/>
        <w:rPr/>
      </w:pPr>
      <w:r>
        <w:rPr/>
        <w:t>in each case pursuant to the provisions of the GOI Guarantee.</w:t>
      </w:r>
    </w:p>
    <w:p>
      <w:pPr>
        <w:pStyle w:val="Recitals"/>
        <w:keepNext w:val="false"/>
        <w:numPr>
          <w:ilvl w:val="0"/>
          <w:numId w:val="0"/>
        </w:numPr>
        <w:spacing w:before="0" w:after="140"/>
        <w:ind w:hanging="0" w:start="720" w:end="0"/>
        <w:rPr>
          <w:b w:val="false"/>
        </w:rPr>
      </w:pPr>
      <w:r>
        <w:rPr>
          <w:b w:val="false"/>
        </w:rPr>
        <w:t>(2)</w:t>
        <w:tab/>
        <w:t>The Claimant further claims declarations as to the rights of the Claimant under the GOI Guarantee and the obligations of the Respondent thereunder, including (without limitation) declarations as to Claimant’s rights and the Respondents obligations under or pursuant to the GOI Guarantee with respect to the matters in issue in the Disputes as set out and described in paragraph 8 above.</w:t>
      </w:r>
    </w:p>
    <w:p>
      <w:pPr>
        <w:pStyle w:val="Recitals"/>
        <w:numPr>
          <w:ilvl w:val="0"/>
          <w:numId w:val="0"/>
        </w:numPr>
        <w:ind w:firstLine="720" w:start="-720" w:end="0"/>
        <w:rPr>
          <w:b w:val="false"/>
        </w:rPr>
      </w:pPr>
      <w:r>
        <w:rPr>
          <w:b w:val="false"/>
        </w:rPr>
        <w:t>(4)</w:t>
        <w:tab/>
      </w:r>
      <w:r>
        <w:rPr>
          <w:b w:val="false"/>
          <w:u w:val="single"/>
        </w:rPr>
        <w:t>Amount of the Claim</w:t>
      </w:r>
    </w:p>
    <w:p>
      <w:pPr>
        <w:pStyle w:val="1LevelPara"/>
        <w:numPr>
          <w:ilvl w:val="0"/>
          <w:numId w:val="18"/>
        </w:numPr>
        <w:ind w:hanging="0" w:start="0" w:end="0"/>
        <w:rPr/>
      </w:pPr>
      <w:r>
        <w:rPr/>
        <w:t>The amount of the claim is Rs. 1,020,000,000.00, together with interest thereon as set out in sub-paragraph 9(1) above.</w:t>
      </w:r>
    </w:p>
    <w:p>
      <w:pPr>
        <w:pStyle w:val="Recitals"/>
        <w:numPr>
          <w:ilvl w:val="0"/>
          <w:numId w:val="0"/>
        </w:numPr>
        <w:ind w:firstLine="720" w:start="-720" w:end="0"/>
        <w:rPr>
          <w:b w:val="false"/>
        </w:rPr>
      </w:pPr>
      <w:r>
        <w:rPr>
          <w:b w:val="false"/>
        </w:rPr>
        <w:t>(5)</w:t>
        <w:tab/>
      </w:r>
      <w:r>
        <w:rPr>
          <w:b w:val="false"/>
          <w:u w:val="single"/>
        </w:rPr>
        <w:t>Relief or Remedy Sought by the Claimant</w:t>
      </w:r>
    </w:p>
    <w:p>
      <w:pPr>
        <w:pStyle w:val="1LevelPara"/>
        <w:numPr>
          <w:ilvl w:val="0"/>
          <w:numId w:val="18"/>
        </w:numPr>
        <w:ind w:hanging="0" w:start="0"/>
        <w:rPr/>
      </w:pPr>
      <w:r>
        <w:rPr/>
        <w:t>(1)</w:t>
        <w:tab/>
        <w:t>payment by the Respondent to the Claimant of the sum of Rs. 1,020,000,000.00;</w:t>
      </w:r>
    </w:p>
    <w:p>
      <w:pPr>
        <w:pStyle w:val="1LevelPara"/>
        <w:numPr>
          <w:ilvl w:val="0"/>
          <w:numId w:val="0"/>
        </w:numPr>
        <w:ind w:hanging="0" w:start="720" w:end="0"/>
        <w:rPr/>
      </w:pPr>
      <w:r>
        <w:rPr/>
        <w:t>(2)</w:t>
        <w:tab/>
        <w:t>interest upon the sum of Rs. 1,020,000,000.00 at the rates of interest set out in Clause 1 of the GOI Guarantee from 23</w:t>
      </w:r>
      <w:r>
        <w:rPr>
          <w:vertAlign w:val="superscript"/>
        </w:rPr>
        <w:t>rd</w:t>
      </w:r>
      <w:r>
        <w:rPr/>
        <w:t xml:space="preserve"> March 2001 until payment;</w:t>
      </w:r>
    </w:p>
    <w:p>
      <w:pPr>
        <w:pStyle w:val="1LevelPara"/>
        <w:numPr>
          <w:ilvl w:val="0"/>
          <w:numId w:val="0"/>
        </w:numPr>
        <w:ind w:hanging="0" w:start="720" w:end="0"/>
        <w:rPr/>
      </w:pPr>
      <w:r>
        <w:rPr/>
        <w:t>(3)</w:t>
        <w:tab/>
        <w:t>declarations as to the rights of the Claimant under the GOI Guarantee and the obligations of the Respondent thereunder in accordance with paragraph 9(2) above or otherwise;</w:t>
      </w:r>
    </w:p>
    <w:p>
      <w:pPr>
        <w:pStyle w:val="1LevelPara"/>
        <w:numPr>
          <w:ilvl w:val="0"/>
          <w:numId w:val="0"/>
        </w:numPr>
        <w:ind w:hanging="0" w:start="720" w:end="0"/>
        <w:rPr/>
      </w:pPr>
      <w:r>
        <w:rPr/>
        <w:t>(4)</w:t>
        <w:tab/>
        <w:t>further or other relief;</w:t>
      </w:r>
    </w:p>
    <w:p>
      <w:pPr>
        <w:pStyle w:val="1LevelPara"/>
        <w:numPr>
          <w:ilvl w:val="0"/>
          <w:numId w:val="0"/>
        </w:numPr>
        <w:ind w:hanging="0" w:start="720" w:end="0"/>
        <w:rPr/>
      </w:pPr>
      <w:r>
        <w:rPr/>
        <w:t>(5)</w:t>
        <w:tab/>
        <w:t>the costs of and occasioned by this arbitral proceeding.</w:t>
      </w:r>
    </w:p>
    <w:p>
      <w:pPr>
        <w:pStyle w:val="Recitals"/>
        <w:numPr>
          <w:ilvl w:val="0"/>
          <w:numId w:val="3"/>
        </w:numPr>
        <w:ind w:hanging="0" w:start="0"/>
        <w:rPr/>
      </w:pPr>
      <w:r>
        <w:rPr>
          <w:u w:val="single"/>
        </w:rPr>
        <w:t>Number of Arbitrators</w:t>
      </w:r>
    </w:p>
    <w:p>
      <w:pPr>
        <w:pStyle w:val="1LevelPara"/>
        <w:numPr>
          <w:ilvl w:val="0"/>
          <w:numId w:val="18"/>
        </w:numPr>
        <w:ind w:hanging="0" w:start="0" w:end="0"/>
        <w:rPr/>
      </w:pPr>
      <w:r>
        <w:rPr/>
        <w:t>The parties have previously agreed, pursuant to Clause 13(b) of the GOI Guarantee, that the number of arbitrators shall be three.</w:t>
      </w:r>
    </w:p>
    <w:p>
      <w:pPr>
        <w:pStyle w:val="Recitals"/>
        <w:numPr>
          <w:ilvl w:val="0"/>
          <w:numId w:val="3"/>
        </w:numPr>
        <w:ind w:hanging="0" w:start="0"/>
        <w:rPr/>
      </w:pPr>
      <w:r>
        <w:rPr>
          <w:u w:val="single"/>
        </w:rPr>
        <w:t>Appointment of Arbitrator by the Claimant</w:t>
      </w:r>
    </w:p>
    <w:p>
      <w:pPr>
        <w:pStyle w:val="1LevelPara"/>
        <w:numPr>
          <w:ilvl w:val="0"/>
          <w:numId w:val="18"/>
        </w:numPr>
        <w:ind w:hanging="0" w:start="0" w:end="0"/>
        <w:rPr/>
      </w:pPr>
      <w:r>
        <w:rPr/>
        <w:t>The Claimant notifies the Respondent that the Claimant has appointed the person named below as an arbitrator in accordance with Article 7 of the UNCITRAL Arbitration Rules:</w:t>
      </w:r>
    </w:p>
    <w:p>
      <w:pPr>
        <w:pStyle w:val="1LevelPara"/>
        <w:numPr>
          <w:ilvl w:val="0"/>
          <w:numId w:val="0"/>
        </w:numPr>
        <w:ind w:hanging="0" w:start="720" w:end="0"/>
        <w:rPr/>
      </w:pPr>
      <w:r>
        <w:rPr/>
        <w:t>The Honourable Andrew John Rogers Q.C. (formerly Chief Judge of the Commercial Division of the Supreme Court of New South Wales) of Level 7, 233 Macquarie Street, Sydney 2000, Australia.</w:t>
      </w:r>
    </w:p>
    <w:p>
      <w:pPr>
        <w:pStyle w:val="1LevelPara"/>
        <w:numPr>
          <w:ilvl w:val="0"/>
          <w:numId w:val="0"/>
        </w:numPr>
        <w:ind w:hanging="720" w:start="720" w:end="0"/>
        <w:rPr/>
      </w:pPr>
      <w:r>
        <w:rPr/>
        <w:t>The person appointed is a national of the Commonwealth of Australia.</w:t>
      </w:r>
    </w:p>
    <w:p>
      <w:pPr>
        <w:pStyle w:val="Recitals"/>
        <w:numPr>
          <w:ilvl w:val="0"/>
          <w:numId w:val="3"/>
        </w:numPr>
        <w:ind w:hanging="0" w:start="0"/>
        <w:rPr/>
      </w:pPr>
      <w:r>
        <w:rPr>
          <w:u w:val="single"/>
        </w:rPr>
        <w:t>Notice to the Respondent to Appoint an Arbitrator</w:t>
      </w:r>
    </w:p>
    <w:p>
      <w:pPr>
        <w:pStyle w:val="1LevelPara"/>
        <w:numPr>
          <w:ilvl w:val="0"/>
          <w:numId w:val="18"/>
        </w:numPr>
        <w:ind w:hanging="0" w:start="0" w:end="0"/>
        <w:rPr/>
      </w:pPr>
      <w:r>
        <w:rPr/>
        <w:t xml:space="preserve">The Claimant calls upon the Respondent to appoint an arbitrator within a period of thirty days. The Claimant calls to the attention of the Respondent the provisions of Article 7 of the UNCITRAL Arbitration Rules with respect to the appointment by the Respondent of an </w:t>
        <w:br/>
      </w:r>
      <w:r>
        <w:br w:type="page"/>
      </w:r>
    </w:p>
    <w:p>
      <w:pPr>
        <w:pStyle w:val="1LevelPara"/>
        <w:numPr>
          <w:ilvl w:val="0"/>
          <w:numId w:val="0"/>
        </w:numPr>
        <w:ind w:hanging="0" w:start="0"/>
        <w:rPr/>
      </w:pPr>
      <w:r>
        <w:rPr/>
        <w:t xml:space="preserve">arbitrator and to the procedures available to the Claimant in the event that the Respondent has not within thirty days after the receipt of this Notice of Arbitration appointed as arbitrator. </w:t>
      </w:r>
    </w:p>
    <w:p>
      <w:pPr>
        <w:pStyle w:val="1LevelPara"/>
        <w:numPr>
          <w:ilvl w:val="0"/>
          <w:numId w:val="0"/>
        </w:numPr>
        <w:spacing w:lineRule="auto" w:line="240" w:before="0" w:after="0"/>
        <w:ind w:hanging="0" w:start="0"/>
        <w:rPr/>
      </w:pPr>
      <w:r>
        <w:rPr/>
      </w:r>
    </w:p>
    <w:p>
      <w:pPr>
        <w:pStyle w:val="1LevelPara"/>
        <w:numPr>
          <w:ilvl w:val="0"/>
          <w:numId w:val="0"/>
        </w:numPr>
        <w:spacing w:before="0" w:after="0"/>
        <w:ind w:hanging="0" w:start="0"/>
        <w:rPr>
          <w:b/>
        </w:rPr>
      </w:pPr>
      <w:r>
        <w:rPr>
          <w:b/>
        </w:rPr>
        <w:t>For and on behalf of the Dabhol Power Company:</w:t>
      </w:r>
    </w:p>
    <w:p>
      <w:pPr>
        <w:pStyle w:val="1LevelPara"/>
        <w:numPr>
          <w:ilvl w:val="0"/>
          <w:numId w:val="0"/>
        </w:numPr>
        <w:spacing w:lineRule="auto" w:line="240" w:before="0" w:after="0"/>
        <w:ind w:hanging="0" w:start="0"/>
        <w:rPr>
          <w:b/>
        </w:rPr>
      </w:pPr>
      <w:r>
        <w:rPr>
          <w:b/>
        </w:rPr>
      </w:r>
    </w:p>
    <w:p>
      <w:pPr>
        <w:pStyle w:val="1LevelPara"/>
        <w:numPr>
          <w:ilvl w:val="0"/>
          <w:numId w:val="0"/>
        </w:numPr>
        <w:ind w:hanging="0" w:start="0"/>
        <w:rPr>
          <w:b/>
        </w:rPr>
      </w:pPr>
      <w:r>
        <w:rPr>
          <w:b/>
        </w:rPr>
        <w:t>Signature:</w:t>
      </w:r>
    </w:p>
    <w:p>
      <w:pPr>
        <w:pStyle w:val="1LevelPara"/>
        <w:numPr>
          <w:ilvl w:val="0"/>
          <w:numId w:val="0"/>
        </w:numPr>
        <w:ind w:hanging="0" w:start="0"/>
        <w:rPr>
          <w:b/>
        </w:rPr>
      </w:pPr>
      <w:r>
        <w:rPr>
          <w:b/>
        </w:rPr>
        <w:t>Name:</w:t>
      </w:r>
    </w:p>
    <w:p>
      <w:pPr>
        <w:pStyle w:val="1LevelPara"/>
        <w:numPr>
          <w:ilvl w:val="0"/>
          <w:numId w:val="0"/>
        </w:numPr>
        <w:ind w:hanging="0" w:start="0"/>
        <w:rPr>
          <w:b/>
        </w:rPr>
      </w:pPr>
      <w:r>
        <w:rPr>
          <w:b/>
        </w:rPr>
        <w:t>Designation:</w:t>
      </w:r>
    </w:p>
    <w:p>
      <w:pPr>
        <w:pStyle w:val="1LevelPara"/>
        <w:keepNext w:val="true"/>
        <w:numPr>
          <w:ilvl w:val="0"/>
          <w:numId w:val="0"/>
        </w:numPr>
        <w:spacing w:before="0" w:after="0"/>
        <w:ind w:hanging="0" w:start="0"/>
        <w:rPr/>
      </w:pPr>
      <w:r>
        <w:rPr>
          <w:b/>
        </w:rPr>
        <w:t>Date:</w:t>
      </w:r>
      <w:r>
        <w:rPr/>
        <w:tab/>
        <w:tab/>
        <w:t>4</w:t>
      </w:r>
      <w:r>
        <w:rPr>
          <w:vertAlign w:val="superscript"/>
        </w:rPr>
        <w:t>th</w:t>
      </w:r>
      <w:r>
        <w:rPr/>
        <w:t xml:space="preserve"> April 2001</w:t>
      </w:r>
    </w:p>
    <w:p>
      <w:pPr>
        <w:pStyle w:val="1LevelPara"/>
        <w:numPr>
          <w:ilvl w:val="0"/>
          <w:numId w:val="0"/>
        </w:numPr>
        <w:ind w:hanging="0" w:start="0"/>
        <w:rPr>
          <w:b/>
        </w:rPr>
      </w:pPr>
      <w:r>
        <w:rPr>
          <w:b/>
        </w:rPr>
      </w:r>
    </w:p>
    <w:p>
      <w:pPr>
        <w:pStyle w:val="1LevelPara"/>
        <w:numPr>
          <w:ilvl w:val="0"/>
          <w:numId w:val="0"/>
        </w:numPr>
        <w:ind w:hanging="0" w:start="0"/>
        <w:rPr>
          <w:b/>
        </w:rPr>
      </w:pPr>
      <w:r>
        <w:rPr>
          <w:b/>
        </w:rPr>
      </w:r>
    </w:p>
    <w:p>
      <w:pPr>
        <w:pStyle w:val="1LevelPara"/>
        <w:numPr>
          <w:ilvl w:val="0"/>
          <w:numId w:val="0"/>
        </w:numPr>
        <w:ind w:hanging="0" w:start="0"/>
        <w:rPr>
          <w:b/>
        </w:rPr>
      </w:pPr>
      <w:r>
        <w:rPr>
          <w:b/>
        </w:rPr>
      </w:r>
    </w:p>
    <w:p>
      <w:pPr>
        <w:pStyle w:val="1LevelPara"/>
        <w:numPr>
          <w:ilvl w:val="0"/>
          <w:numId w:val="0"/>
        </w:numPr>
        <w:ind w:hanging="0" w:start="0"/>
        <w:rPr>
          <w:b/>
        </w:rPr>
      </w:pPr>
      <w:r>
        <w:rPr>
          <w:b/>
        </w:rPr>
      </w:r>
    </w:p>
    <w:p>
      <w:pPr>
        <w:pStyle w:val="1LevelPara"/>
        <w:numPr>
          <w:ilvl w:val="0"/>
          <w:numId w:val="0"/>
        </w:numPr>
        <w:ind w:hanging="0" w:start="0"/>
        <w:rPr>
          <w:b/>
        </w:rPr>
      </w:pPr>
      <w:r>
        <w:rPr>
          <w:b/>
        </w:rPr>
      </w:r>
    </w:p>
    <w:p>
      <w:pPr>
        <w:pStyle w:val="1LevelPara"/>
        <w:numPr>
          <w:ilvl w:val="0"/>
          <w:numId w:val="0"/>
        </w:numPr>
        <w:ind w:hanging="0" w:start="0"/>
        <w:rPr>
          <w:b/>
        </w:rPr>
      </w:pPr>
      <w:r>
        <w:rPr>
          <w:b/>
        </w:rPr>
      </w:r>
    </w:p>
    <w:p>
      <w:pPr>
        <w:pStyle w:val="1LevelPara"/>
        <w:numPr>
          <w:ilvl w:val="0"/>
          <w:numId w:val="0"/>
        </w:numPr>
        <w:ind w:hanging="0" w:start="0"/>
        <w:rPr>
          <w:b/>
        </w:rPr>
      </w:pPr>
      <w:r>
        <w:rPr>
          <w:b/>
        </w:rPr>
      </w:r>
    </w:p>
    <w:p>
      <w:pPr>
        <w:pStyle w:val="1LevelPara"/>
        <w:numPr>
          <w:ilvl w:val="0"/>
          <w:numId w:val="0"/>
        </w:numPr>
        <w:ind w:hanging="0" w:start="0"/>
        <w:rPr>
          <w:b/>
        </w:rPr>
      </w:pPr>
      <w:r>
        <w:rPr>
          <w:b/>
        </w:rPr>
      </w:r>
    </w:p>
    <w:p>
      <w:pPr>
        <w:pStyle w:val="1LevelPara"/>
        <w:numPr>
          <w:ilvl w:val="0"/>
          <w:numId w:val="0"/>
        </w:numPr>
        <w:ind w:hanging="0" w:start="0"/>
        <w:rPr>
          <w:b/>
        </w:rPr>
      </w:pPr>
      <w:r>
        <w:rPr>
          <w:b/>
        </w:rPr>
      </w:r>
    </w:p>
    <w:p>
      <w:pPr>
        <w:pStyle w:val="1LevelPara"/>
        <w:numPr>
          <w:ilvl w:val="0"/>
          <w:numId w:val="0"/>
        </w:numPr>
        <w:ind w:hanging="0" w:start="0"/>
        <w:rPr>
          <w:b/>
        </w:rPr>
      </w:pPr>
      <w:r>
        <w:rPr>
          <w:b/>
        </w:rPr>
      </w:r>
    </w:p>
    <w:p>
      <w:pPr>
        <w:pStyle w:val="1LevelPara"/>
        <w:numPr>
          <w:ilvl w:val="0"/>
          <w:numId w:val="0"/>
        </w:numPr>
        <w:ind w:hanging="0" w:start="0"/>
        <w:rPr>
          <w:b/>
        </w:rPr>
      </w:pPr>
      <w:r>
        <w:rPr>
          <w:b/>
        </w:rPr>
      </w:r>
    </w:p>
    <w:p>
      <w:pPr>
        <w:pStyle w:val="1LevelPara"/>
        <w:numPr>
          <w:ilvl w:val="0"/>
          <w:numId w:val="0"/>
        </w:numPr>
        <w:ind w:hanging="0" w:start="0"/>
        <w:rPr>
          <w:b/>
        </w:rPr>
      </w:pPr>
      <w:r>
        <w:rPr>
          <w:b/>
        </w:rPr>
      </w:r>
    </w:p>
    <w:p>
      <w:pPr>
        <w:pStyle w:val="1LevelPara"/>
        <w:numPr>
          <w:ilvl w:val="0"/>
          <w:numId w:val="0"/>
        </w:numPr>
        <w:ind w:hanging="0" w:start="0"/>
        <w:rPr>
          <w:b/>
        </w:rPr>
      </w:pPr>
      <w:r>
        <w:rPr>
          <w:b/>
        </w:rPr>
      </w:r>
    </w:p>
    <w:p>
      <w:pPr>
        <w:pStyle w:val="1LevelPara"/>
        <w:numPr>
          <w:ilvl w:val="0"/>
          <w:numId w:val="0"/>
        </w:numPr>
        <w:ind w:hanging="0" w:start="0"/>
        <w:rPr>
          <w:b/>
        </w:rPr>
      </w:pPr>
      <w:r>
        <w:rPr>
          <w:b/>
        </w:rPr>
      </w:r>
    </w:p>
    <w:p>
      <w:pPr>
        <w:pStyle w:val="1LevelPara"/>
        <w:numPr>
          <w:ilvl w:val="0"/>
          <w:numId w:val="0"/>
        </w:numPr>
        <w:ind w:hanging="0" w:start="0"/>
        <w:rPr>
          <w:b/>
        </w:rPr>
      </w:pPr>
      <w:r>
        <w:rPr>
          <w:b/>
        </w:rPr>
      </w:r>
    </w:p>
    <w:p>
      <w:pPr>
        <w:pStyle w:val="1LevelPara"/>
        <w:numPr>
          <w:ilvl w:val="0"/>
          <w:numId w:val="0"/>
        </w:numPr>
        <w:ind w:hanging="0" w:start="0"/>
        <w:rPr>
          <w:b/>
        </w:rPr>
      </w:pPr>
      <w:r>
        <w:rPr>
          <w:b/>
        </w:rPr>
      </w:r>
    </w:p>
    <w:p>
      <w:pPr>
        <w:pStyle w:val="1LevelPara"/>
        <w:numPr>
          <w:ilvl w:val="0"/>
          <w:numId w:val="0"/>
        </w:numPr>
        <w:ind w:hanging="0" w:start="0"/>
        <w:rPr>
          <w:b/>
        </w:rPr>
      </w:pPr>
      <w:r>
        <w:rPr>
          <w:b/>
        </w:rPr>
      </w:r>
    </w:p>
    <w:p>
      <w:pPr>
        <w:pStyle w:val="1LevelPara"/>
        <w:numPr>
          <w:ilvl w:val="0"/>
          <w:numId w:val="0"/>
        </w:numPr>
        <w:ind w:hanging="0" w:start="0"/>
        <w:rPr/>
      </w:pPr>
      <w:r>
        <w:rPr>
          <w:b/>
        </w:rPr>
        <w:t>Served</w:t>
      </w:r>
      <w:r>
        <w:rPr/>
        <w:t xml:space="preserve"> this 4</w:t>
      </w:r>
      <w:r>
        <w:rPr>
          <w:vertAlign w:val="superscript"/>
        </w:rPr>
        <w:t>th</w:t>
      </w:r>
      <w:r>
        <w:rPr/>
        <w:t xml:space="preserve"> day of April 2001 by Messrs Linklaters of Alexandra House (10</w:t>
      </w:r>
      <w:r>
        <w:rPr>
          <w:vertAlign w:val="superscript"/>
        </w:rPr>
        <w:t>th</w:t>
      </w:r>
      <w:r>
        <w:rPr/>
        <w:t xml:space="preserve"> floor), 16-20 Chater Road, Central, Hong Kong, Solicitors for the Claimant.</w:t>
      </w:r>
      <w:r>
        <w:br w:type="page"/>
      </w:r>
    </w:p>
    <w:p>
      <w:pPr>
        <w:pStyle w:val="Heading10"/>
        <w:jc w:val="center"/>
        <w:rPr>
          <w:u w:val="single"/>
        </w:rPr>
      </w:pPr>
      <w:r>
        <w:rPr>
          <w:u w:val="single"/>
        </w:rPr>
        <w:t>Annexure</w:t>
      </w:r>
    </w:p>
    <w:p>
      <w:pPr>
        <w:pStyle w:val="1LevelPara"/>
        <w:keepNext w:val="true"/>
        <w:numPr>
          <w:ilvl w:val="0"/>
          <w:numId w:val="0"/>
        </w:numPr>
        <w:spacing w:lineRule="auto" w:line="240"/>
        <w:ind w:hanging="0" w:start="720" w:end="0"/>
        <w:rPr>
          <w:i/>
          <w:i/>
          <w:u w:val="single"/>
        </w:rPr>
      </w:pPr>
      <w:r>
        <w:rPr>
          <w:i/>
          <w:u w:val="single"/>
        </w:rPr>
      </w:r>
    </w:p>
    <w:p>
      <w:pPr>
        <w:pStyle w:val="1LevelPara"/>
        <w:numPr>
          <w:ilvl w:val="0"/>
          <w:numId w:val="0"/>
        </w:numPr>
        <w:spacing w:lineRule="auto" w:line="240"/>
        <w:ind w:hanging="0" w:start="0"/>
        <w:rPr>
          <w:i/>
          <w:i/>
        </w:rPr>
      </w:pPr>
      <w:r>
        <w:rPr>
          <w:i/>
        </w:rPr>
        <w:t>“</w:t>
      </w:r>
      <w:r>
        <w:rPr>
          <w:i/>
        </w:rPr>
        <w:t>13.</w:t>
        <w:tab/>
        <w:t>SETTLEMENT OF DISPUTES</w:t>
      </w:r>
    </w:p>
    <w:p>
      <w:pPr>
        <w:pStyle w:val="1LevelPara"/>
        <w:numPr>
          <w:ilvl w:val="0"/>
          <w:numId w:val="0"/>
        </w:numPr>
        <w:spacing w:lineRule="auto" w:line="240"/>
        <w:ind w:hanging="0" w:start="0"/>
        <w:rPr>
          <w:i/>
          <w:i/>
        </w:rPr>
      </w:pPr>
      <w:r>
        <w:rPr>
          <w:i/>
        </w:rPr>
        <w:tab/>
        <w:t>Any dispute or difference (each a “dispute”) arising out of or in connection with this Guarantee shall, regardless of the nature of the dispute, be referred to the dispute resolution procedure in this section.</w:t>
      </w:r>
    </w:p>
    <w:p>
      <w:pPr>
        <w:pStyle w:val="1LevelPara"/>
        <w:numPr>
          <w:ilvl w:val="0"/>
          <w:numId w:val="0"/>
        </w:numPr>
        <w:spacing w:lineRule="auto" w:line="240"/>
        <w:ind w:hanging="0" w:start="0"/>
        <w:rPr>
          <w:i/>
          <w:i/>
        </w:rPr>
      </w:pPr>
      <w:r>
        <w:rPr>
          <w:i/>
        </w:rPr>
        <w:t>…</w:t>
      </w:r>
    </w:p>
    <w:p>
      <w:pPr>
        <w:pStyle w:val="1LevelPara"/>
        <w:numPr>
          <w:ilvl w:val="0"/>
          <w:numId w:val="0"/>
        </w:numPr>
        <w:spacing w:lineRule="auto" w:line="240"/>
        <w:ind w:hanging="0" w:start="0"/>
        <w:rPr>
          <w:i/>
          <w:i/>
        </w:rPr>
      </w:pPr>
      <w:r>
        <w:rPr>
          <w:i/>
        </w:rPr>
        <w:t>(b)</w:t>
        <w:tab/>
        <w:t>Any dispute that remains unresolved in accordance with the procedure outlined above in sub-paragraph 13(a), within sixty days or within such period as may be extended by the parties with mutual consent, shall be resolved by arbitration.</w:t>
      </w:r>
    </w:p>
    <w:p>
      <w:pPr>
        <w:pStyle w:val="1LevelPara"/>
        <w:numPr>
          <w:ilvl w:val="0"/>
          <w:numId w:val="0"/>
        </w:numPr>
        <w:spacing w:lineRule="auto" w:line="240"/>
        <w:ind w:hanging="720" w:start="720" w:end="0"/>
        <w:rPr>
          <w:i/>
          <w:i/>
        </w:rPr>
      </w:pPr>
      <w:r>
        <w:rPr>
          <w:i/>
        </w:rPr>
        <w:tab/>
        <w:t>(i)</w:t>
        <w:tab/>
        <w:t>Such arbitration shall be in accordance with the provisions of the UNCITRAL Arbitration Rules (the “Arbitration Rules”) as at present in force and shall be conducted by three arbitrators to be appointed according to the Arbitration Rules.</w:t>
      </w:r>
    </w:p>
    <w:p>
      <w:pPr>
        <w:pStyle w:val="1LevelPara"/>
        <w:numPr>
          <w:ilvl w:val="0"/>
          <w:numId w:val="0"/>
        </w:numPr>
        <w:spacing w:lineRule="auto" w:line="240"/>
        <w:ind w:hanging="720" w:start="720" w:end="0"/>
        <w:rPr>
          <w:i/>
          <w:i/>
        </w:rPr>
      </w:pPr>
      <w:r>
        <w:rPr>
          <w:i/>
        </w:rPr>
        <w:tab/>
        <w:t>(ii)</w:t>
        <w:tab/>
        <w:t>The arbitration proceedings shall be held in London, England.</w:t>
      </w:r>
    </w:p>
    <w:p>
      <w:pPr>
        <w:pStyle w:val="1LevelPara"/>
        <w:numPr>
          <w:ilvl w:val="0"/>
          <w:numId w:val="0"/>
        </w:numPr>
        <w:spacing w:lineRule="auto" w:line="240"/>
        <w:ind w:hanging="720" w:start="720" w:end="0"/>
        <w:rPr>
          <w:i/>
          <w:i/>
        </w:rPr>
      </w:pPr>
      <w:r>
        <w:rPr>
          <w:i/>
        </w:rPr>
        <w:tab/>
        <w:t>(iii)</w:t>
        <w:tab/>
        <w:t>The third arbitrator appointed pursuant to this paragraph shall not be a national of India or of the United States.</w:t>
      </w:r>
    </w:p>
    <w:p>
      <w:pPr>
        <w:pStyle w:val="1LevelPara"/>
        <w:numPr>
          <w:ilvl w:val="0"/>
          <w:numId w:val="0"/>
        </w:numPr>
        <w:spacing w:lineRule="auto" w:line="240"/>
        <w:ind w:hanging="0" w:start="720" w:end="0"/>
        <w:rPr>
          <w:i/>
          <w:i/>
        </w:rPr>
      </w:pPr>
      <w:r>
        <w:rPr>
          <w:i/>
        </w:rPr>
        <w:t>(iv)</w:t>
        <w:tab/>
        <w:t>The language of any conciliation and/or arbitration proceedings shall be English.</w:t>
      </w:r>
    </w:p>
    <w:p>
      <w:pPr>
        <w:pStyle w:val="1LevelPara"/>
        <w:numPr>
          <w:ilvl w:val="0"/>
          <w:numId w:val="0"/>
        </w:numPr>
        <w:spacing w:lineRule="auto" w:line="240"/>
        <w:ind w:hanging="0" w:start="720" w:end="0"/>
        <w:rPr>
          <w:i/>
          <w:i/>
        </w:rPr>
      </w:pPr>
      <w:r>
        <w:rPr>
          <w:i/>
        </w:rPr>
        <w:t>(v)</w:t>
        <w:tab/>
        <w:t>Amounts due under any arbitration award shall be paid within 30 (thirty) days of the award and interest shall accrue thereafter on unpaid amounts under the award at the rate referred to in paragraph 1 above.</w:t>
      </w:r>
    </w:p>
    <w:p>
      <w:pPr>
        <w:pStyle w:val="1LevelPara"/>
        <w:numPr>
          <w:ilvl w:val="0"/>
          <w:numId w:val="0"/>
        </w:numPr>
        <w:spacing w:lineRule="auto" w:line="240"/>
        <w:ind w:hanging="0" w:start="720" w:end="0"/>
        <w:rPr>
          <w:i/>
          <w:i/>
        </w:rPr>
      </w:pPr>
      <w:r>
        <w:rPr>
          <w:i/>
        </w:rPr>
        <w:t>(vi)</w:t>
        <w:tab/>
        <w:t>Notwithstanding any other provision of this Guarantee, the law governing this arbitration agreement shall be the law of the place where the arbitration proceedings are held.</w:t>
      </w:r>
    </w:p>
    <w:p>
      <w:pPr>
        <w:pStyle w:val="1LevelPara"/>
        <w:numPr>
          <w:ilvl w:val="0"/>
          <w:numId w:val="0"/>
        </w:numPr>
        <w:spacing w:lineRule="auto" w:line="240"/>
        <w:ind w:hanging="0" w:start="720" w:end="0"/>
        <w:rPr>
          <w:i/>
          <w:i/>
        </w:rPr>
      </w:pPr>
      <w:r>
        <w:rPr>
          <w:i/>
        </w:rPr>
        <w:t>(vii)</w:t>
        <w:tab/>
        <w:t>Any award given pursuant to arbitration in London, England, under clause (ii) shall be governed by the New York Convention on the Recognition and Enforcement of Foreign Arbitral Awards of 1958.</w:t>
      </w:r>
    </w:p>
    <w:p>
      <w:pPr>
        <w:pStyle w:val="1LevelPara"/>
        <w:numPr>
          <w:ilvl w:val="0"/>
          <w:numId w:val="0"/>
        </w:numPr>
        <w:spacing w:lineRule="auto" w:line="240"/>
        <w:ind w:hanging="0" w:start="720" w:end="0"/>
        <w:rPr>
          <w:i/>
          <w:i/>
        </w:rPr>
      </w:pPr>
      <w:r>
        <w:rPr>
          <w:i/>
        </w:rPr>
        <w:t>(viii)</w:t>
        <w:tab/>
        <w:t>If at any time there are arbitration awards in favour of the Company under each of this Guarantee and the GOM Guarantee which remain unpaid, then any proceedings in India for enforcement, attachment or execution which the Company may initiate with respect to the award under this Guarantee shall be initiated not earlier than 30 (thirty) days after enforcement, attachment or execution is initiated with respect to the award under the GOM Guarantee.”</w:t>
      </w:r>
    </w:p>
    <w:p>
      <w:pPr>
        <w:sectPr>
          <w:headerReference w:type="default" r:id="rId2"/>
          <w:footerReference w:type="default" r:id="rId3"/>
          <w:type w:val="nextPage"/>
          <w:pgSz w:w="11906" w:h="16838"/>
          <w:pgMar w:left="1800" w:right="1800" w:gutter="0" w:header="720" w:top="1620" w:footer="576" w:bottom="1530"/>
          <w:pgNumType w:fmt="decimal"/>
          <w:formProt w:val="false"/>
          <w:textDirection w:val="lrTb"/>
          <w:docGrid w:type="default" w:linePitch="360" w:charSpace="0"/>
        </w:sectPr>
        <w:pStyle w:val="1LevelPara"/>
        <w:numPr>
          <w:ilvl w:val="0"/>
          <w:numId w:val="0"/>
        </w:numPr>
        <w:spacing w:lineRule="auto" w:line="240" w:before="0" w:after="240"/>
        <w:ind w:hanging="720" w:start="720" w:end="0"/>
        <w:rPr>
          <w:i/>
          <w:i/>
        </w:rPr>
      </w:pPr>
      <w:r>
        <w:rPr>
          <w:i/>
        </w:rPr>
      </w:r>
    </w:p>
    <w:p>
      <w:pPr>
        <w:pStyle w:val="Heading10"/>
        <w:tabs>
          <w:tab w:val="clear" w:pos="720"/>
          <w:tab w:val="center" w:pos="4140" w:leader="none"/>
          <w:tab w:val="right" w:pos="8280" w:leader="none"/>
        </w:tabs>
        <w:spacing w:lineRule="auto" w:line="360" w:before="0" w:after="140"/>
        <w:ind w:start="3600" w:end="0"/>
        <w:rPr>
          <w:u w:val="single"/>
        </w:rPr>
      </w:pPr>
      <w:r>
        <w:rPr>
          <w:u w:val="single"/>
        </w:rPr>
        <w:t>IN THE MATTER OF THE ARBITRATION ACT 1996</w:t>
      </w:r>
    </w:p>
    <w:p>
      <w:pPr>
        <w:pStyle w:val="Heading10"/>
        <w:tabs>
          <w:tab w:val="clear" w:pos="720"/>
          <w:tab w:val="center" w:pos="4140" w:leader="none"/>
          <w:tab w:val="right" w:pos="8280" w:leader="none"/>
        </w:tabs>
        <w:spacing w:lineRule="auto" w:line="360" w:before="0" w:after="140"/>
        <w:ind w:start="3600" w:end="0"/>
        <w:rPr>
          <w:u w:val="single"/>
        </w:rPr>
      </w:pPr>
      <w:r>
        <w:rPr>
          <w:u w:val="single"/>
        </w:rPr>
        <w:t>AND</w:t>
      </w:r>
    </w:p>
    <w:p>
      <w:pPr>
        <w:pStyle w:val="Heading10"/>
        <w:tabs>
          <w:tab w:val="clear" w:pos="720"/>
          <w:tab w:val="center" w:pos="4140" w:leader="none"/>
          <w:tab w:val="right" w:pos="8280" w:leader="none"/>
        </w:tabs>
        <w:spacing w:lineRule="auto" w:line="360" w:before="0" w:after="140"/>
        <w:ind w:start="3600" w:end="0"/>
        <w:rPr>
          <w:u w:val="single"/>
        </w:rPr>
      </w:pPr>
      <w:r>
        <w:rPr>
          <w:u w:val="single"/>
        </w:rPr>
        <w:t>IN THE MATTER OF AN ARBITRATION</w:t>
        <w:br/>
        <w:t>(UNDER THE UNCITRAL ARBITRATION RULES)</w:t>
      </w:r>
    </w:p>
    <w:p>
      <w:pPr>
        <w:pStyle w:val="Heading10"/>
        <w:tabs>
          <w:tab w:val="left" w:pos="720" w:leader="none"/>
          <w:tab w:val="left" w:pos="1440" w:leader="none"/>
        </w:tabs>
        <w:spacing w:lineRule="auto" w:line="360"/>
        <w:ind w:start="3600" w:end="0"/>
        <w:jc w:val="center"/>
        <w:rPr>
          <w:u w:val="single"/>
        </w:rPr>
      </w:pPr>
      <w:r>
        <w:rPr>
          <w:u w:val="single"/>
        </w:rPr>
      </w:r>
    </w:p>
    <w:p>
      <w:pPr>
        <w:pStyle w:val="Heading10"/>
        <w:tabs>
          <w:tab w:val="left" w:pos="720" w:leader="none"/>
          <w:tab w:val="left" w:pos="1440" w:leader="none"/>
        </w:tabs>
        <w:spacing w:lineRule="auto" w:line="360"/>
        <w:ind w:start="3600" w:end="0"/>
        <w:rPr/>
      </w:pPr>
      <w:r>
        <w:rPr/>
        <w:t>BETWEEN:-</w:t>
      </w:r>
    </w:p>
    <w:p>
      <w:pPr>
        <w:pStyle w:val="Heading10"/>
        <w:tabs>
          <w:tab w:val="left" w:pos="720" w:leader="none"/>
          <w:tab w:val="left" w:pos="1440" w:leader="none"/>
        </w:tabs>
        <w:spacing w:lineRule="auto" w:line="360"/>
        <w:ind w:start="3600" w:end="0"/>
        <w:jc w:val="center"/>
        <w:rPr/>
      </w:pPr>
      <w:r>
        <w:rPr/>
        <w:t>DABHOL POWER COMPANY</w:t>
      </w:r>
    </w:p>
    <w:p>
      <w:pPr>
        <w:pStyle w:val="Heading10"/>
        <w:tabs>
          <w:tab w:val="left" w:pos="720" w:leader="none"/>
          <w:tab w:val="left" w:pos="1440" w:leader="none"/>
        </w:tabs>
        <w:spacing w:lineRule="auto" w:line="360" w:before="280" w:after="0"/>
        <w:ind w:start="3600" w:end="0"/>
        <w:jc w:val="end"/>
        <w:rPr>
          <w:u w:val="single"/>
        </w:rPr>
      </w:pPr>
      <w:r>
        <w:rPr>
          <w:u w:val="single"/>
        </w:rPr>
        <w:t>Claimant</w:t>
      </w:r>
    </w:p>
    <w:p>
      <w:pPr>
        <w:pStyle w:val="Heading10"/>
        <w:tabs>
          <w:tab w:val="left" w:pos="720" w:leader="none"/>
          <w:tab w:val="left" w:pos="1440" w:leader="none"/>
        </w:tabs>
        <w:spacing w:lineRule="auto" w:line="360"/>
        <w:ind w:start="3600" w:end="0"/>
        <w:jc w:val="center"/>
        <w:rPr/>
      </w:pPr>
      <w:r>
        <w:rPr/>
        <w:t>-and-</w:t>
      </w:r>
    </w:p>
    <w:p>
      <w:pPr>
        <w:pStyle w:val="Heading10"/>
        <w:tabs>
          <w:tab w:val="left" w:pos="720" w:leader="none"/>
          <w:tab w:val="left" w:pos="1440" w:leader="none"/>
        </w:tabs>
        <w:spacing w:lineRule="auto" w:line="360" w:before="280" w:after="0"/>
        <w:ind w:start="3600" w:end="0"/>
        <w:jc w:val="center"/>
        <w:rPr/>
      </w:pPr>
      <w:r>
        <w:rPr/>
        <w:t>THE UNION OF INDIA</w:t>
      </w:r>
    </w:p>
    <w:p>
      <w:pPr>
        <w:pStyle w:val="Heading10"/>
        <w:tabs>
          <w:tab w:val="left" w:pos="720" w:leader="none"/>
          <w:tab w:val="left" w:pos="1440" w:leader="none"/>
        </w:tabs>
        <w:spacing w:lineRule="auto" w:line="360" w:before="280" w:after="0"/>
        <w:ind w:start="3600" w:end="0"/>
        <w:jc w:val="end"/>
        <w:rPr>
          <w:u w:val="single"/>
        </w:rPr>
      </w:pPr>
      <w:r>
        <w:rPr>
          <w:u w:val="single"/>
        </w:rPr>
        <w:t>Respondent</w:t>
      </w:r>
    </w:p>
    <w:p>
      <w:pPr>
        <w:pStyle w:val="Normal"/>
        <w:ind w:start="3600" w:end="0"/>
        <w:rPr>
          <w:u w:val="single"/>
        </w:rPr>
      </w:pPr>
      <w:r>
        <w:rPr>
          <w:u w:val="single"/>
        </w:rPr>
      </w:r>
    </w:p>
    <w:p>
      <w:pPr>
        <w:pStyle w:val="Normal"/>
        <w:ind w:start="3600" w:end="0"/>
        <w:rPr/>
      </w:pPr>
      <w:r>
        <w:rPr/>
      </w:r>
    </w:p>
    <w:p>
      <w:pPr>
        <w:pStyle w:val="Normal"/>
        <w:ind w:start="3600" w:end="0"/>
        <w:rPr/>
      </w:pPr>
      <w:r>
        <w:rPr/>
      </w:r>
    </w:p>
    <w:p>
      <w:pPr>
        <w:pStyle w:val="Heading10"/>
        <w:tabs>
          <w:tab w:val="left" w:pos="720" w:leader="none"/>
          <w:tab w:val="left" w:pos="1440" w:leader="none"/>
        </w:tabs>
        <w:spacing w:lineRule="auto" w:line="360"/>
        <w:ind w:start="3600" w:end="0"/>
        <w:jc w:val="center"/>
        <w:rPr>
          <w:b w:val="false"/>
          <w:u w:val="single"/>
        </w:rPr>
      </w:pPr>
      <w:r>
        <w:rPr>
          <w:b w:val="false"/>
          <w:u w:val="single"/>
        </w:rPr>
      </w:r>
    </w:p>
    <w:tbl>
      <w:tblPr>
        <w:tblW w:w="4856" w:type="dxa"/>
        <w:jc w:val="start"/>
        <w:tblInd w:w="4068" w:type="dxa"/>
        <w:tblLayout w:type="fixed"/>
        <w:tblCellMar>
          <w:top w:w="0" w:type="dxa"/>
          <w:start w:w="108" w:type="dxa"/>
          <w:bottom w:w="0" w:type="dxa"/>
          <w:end w:w="108" w:type="dxa"/>
        </w:tblCellMar>
      </w:tblPr>
      <w:tblGrid>
        <w:gridCol w:w="4856"/>
      </w:tblGrid>
      <w:tr>
        <w:trPr/>
        <w:tc>
          <w:tcPr>
            <w:tcW w:w="4856" w:type="dxa"/>
            <w:tcBorders>
              <w:top w:val="single" w:sz="18" w:space="0" w:color="000000"/>
              <w:bottom w:val="single" w:sz="18" w:space="0" w:color="000000"/>
            </w:tcBorders>
          </w:tcPr>
          <w:p>
            <w:pPr>
              <w:pStyle w:val="Heading10"/>
              <w:tabs>
                <w:tab w:val="left" w:pos="720" w:leader="none"/>
                <w:tab w:val="left" w:pos="1440" w:leader="none"/>
              </w:tabs>
              <w:spacing w:before="400" w:after="280"/>
              <w:jc w:val="center"/>
              <w:rPr>
                <w:u w:val="single"/>
              </w:rPr>
            </w:pPr>
            <w:r>
              <w:rPr/>
              <w:t>NOTICE OF ARBITRATION</w:t>
            </w:r>
          </w:p>
        </w:tc>
      </w:tr>
    </w:tbl>
    <w:p>
      <w:pPr>
        <w:pStyle w:val="Heading1"/>
        <w:spacing w:lineRule="auto" w:line="360" w:before="0" w:after="140"/>
        <w:ind w:hanging="0" w:start="3600" w:end="0"/>
        <w:rPr>
          <w:kern w:val="0"/>
          <w:u w:val="single"/>
        </w:rPr>
      </w:pPr>
      <w:r>
        <w:rPr>
          <w:kern w:val="0"/>
          <w:u w:val="single"/>
        </w:rPr>
      </w:r>
    </w:p>
    <w:p>
      <w:pPr>
        <w:pStyle w:val="Normal"/>
        <w:ind w:start="3600" w:end="0"/>
        <w:rPr>
          <w:kern w:val="0"/>
          <w:u w:val="single"/>
        </w:rPr>
      </w:pPr>
      <w:r>
        <w:rPr>
          <w:kern w:val="0"/>
          <w:u w:val="single"/>
        </w:rPr>
      </w:r>
    </w:p>
    <w:p>
      <w:pPr>
        <w:pStyle w:val="Normal"/>
        <w:ind w:start="3600" w:end="0"/>
        <w:rPr/>
      </w:pPr>
      <w:r>
        <w:rPr/>
      </w:r>
    </w:p>
    <w:p>
      <w:pPr>
        <w:pStyle w:val="Normal"/>
        <w:ind w:start="3600" w:end="0"/>
        <w:rPr/>
      </w:pPr>
      <w:r>
        <w:rPr/>
      </w:r>
    </w:p>
    <w:p>
      <w:pPr>
        <w:pStyle w:val="Normal"/>
        <w:ind w:start="3600" w:end="0"/>
        <w:rPr/>
      </w:pPr>
      <w:r>
        <w:rPr/>
      </w:r>
    </w:p>
    <w:p>
      <w:pPr>
        <w:pStyle w:val="Normal"/>
        <w:ind w:start="3600" w:end="0"/>
        <w:rPr/>
      </w:pPr>
      <w:r>
        <w:rPr/>
      </w:r>
    </w:p>
    <w:p>
      <w:pPr>
        <w:pStyle w:val="Normal"/>
        <w:ind w:start="3600" w:end="0"/>
        <w:rPr/>
      </w:pPr>
      <w:r>
        <w:rPr/>
      </w:r>
    </w:p>
    <w:p>
      <w:pPr>
        <w:pStyle w:val="Normal"/>
        <w:ind w:start="3600" w:end="0"/>
        <w:rPr/>
      </w:pPr>
      <w:r>
        <w:rPr/>
      </w:r>
    </w:p>
    <w:p>
      <w:pPr>
        <w:pStyle w:val="Normal"/>
        <w:rPr/>
      </w:pPr>
      <w:r>
        <w:rPr/>
      </w:r>
    </w:p>
    <w:p>
      <w:pPr>
        <w:pStyle w:val="Normal"/>
        <w:rPr/>
      </w:pPr>
      <w:r>
        <w:rPr/>
      </w:r>
    </w:p>
    <w:p>
      <w:pPr>
        <w:pStyle w:val="Normal"/>
        <w:spacing w:lineRule="auto" w:line="240"/>
        <w:ind w:start="5040" w:end="0"/>
        <w:rPr>
          <w:rFonts w:ascii="Times" w:hAnsi="Times" w:cs="Times"/>
          <w:sz w:val="22"/>
        </w:rPr>
      </w:pPr>
      <w:r>
        <w:rPr>
          <w:rFonts w:cs="Times" w:ascii="Times" w:hAnsi="Times"/>
          <w:sz w:val="22"/>
        </w:rPr>
        <w:t>Messrs. Linklaters</w:t>
      </w:r>
    </w:p>
    <w:p>
      <w:pPr>
        <w:pStyle w:val="Normal"/>
        <w:spacing w:lineRule="auto" w:line="240"/>
        <w:ind w:start="5040" w:end="0"/>
        <w:rPr>
          <w:rFonts w:ascii="Times" w:hAnsi="Times" w:cs="Times"/>
          <w:sz w:val="22"/>
        </w:rPr>
      </w:pPr>
      <w:r>
        <w:rPr>
          <w:rFonts w:cs="Times" w:ascii="Times" w:hAnsi="Times"/>
          <w:sz w:val="22"/>
        </w:rPr>
        <w:t>Alexandra House (10th floor),</w:t>
      </w:r>
    </w:p>
    <w:p>
      <w:pPr>
        <w:pStyle w:val="Normal"/>
        <w:spacing w:lineRule="auto" w:line="240"/>
        <w:ind w:start="5040" w:end="0"/>
        <w:rPr>
          <w:rFonts w:ascii="Times" w:hAnsi="Times" w:cs="Times"/>
          <w:sz w:val="22"/>
        </w:rPr>
      </w:pPr>
      <w:r>
        <w:rPr>
          <w:rFonts w:cs="Times" w:ascii="Times" w:hAnsi="Times"/>
          <w:sz w:val="22"/>
        </w:rPr>
        <w:t>16-20 Chater Road,</w:t>
      </w:r>
    </w:p>
    <w:p>
      <w:pPr>
        <w:pStyle w:val="Normal"/>
        <w:spacing w:lineRule="auto" w:line="240"/>
        <w:ind w:start="5040" w:end="0"/>
        <w:rPr>
          <w:rFonts w:ascii="Times" w:hAnsi="Times" w:cs="Times"/>
          <w:sz w:val="22"/>
        </w:rPr>
      </w:pPr>
      <w:r>
        <w:rPr>
          <w:rFonts w:cs="Times" w:ascii="Times" w:hAnsi="Times"/>
          <w:sz w:val="22"/>
        </w:rPr>
        <w:t>Central,</w:t>
      </w:r>
    </w:p>
    <w:p>
      <w:pPr>
        <w:pStyle w:val="Normal"/>
        <w:spacing w:lineRule="auto" w:line="240"/>
        <w:ind w:start="5040" w:end="0"/>
        <w:rPr>
          <w:rFonts w:ascii="Times" w:hAnsi="Times" w:cs="Times"/>
          <w:sz w:val="22"/>
        </w:rPr>
      </w:pPr>
      <w:r>
        <w:rPr>
          <w:rFonts w:cs="Times" w:ascii="Times" w:hAnsi="Times"/>
          <w:sz w:val="22"/>
        </w:rPr>
        <w:t>Hong Kong.</w:t>
      </w:r>
    </w:p>
    <w:p>
      <w:pPr>
        <w:pStyle w:val="Normal"/>
        <w:spacing w:lineRule="auto" w:line="240"/>
        <w:ind w:start="5040" w:end="0"/>
        <w:rPr>
          <w:rFonts w:ascii="Times" w:hAnsi="Times" w:cs="Times"/>
          <w:sz w:val="22"/>
        </w:rPr>
      </w:pPr>
      <w:r>
        <w:rPr>
          <w:rFonts w:cs="Times" w:ascii="Times" w:hAnsi="Times"/>
          <w:sz w:val="22"/>
        </w:rPr>
      </w:r>
    </w:p>
    <w:p>
      <w:pPr>
        <w:pStyle w:val="Normal"/>
        <w:tabs>
          <w:tab w:val="clear" w:pos="720"/>
          <w:tab w:val="left" w:pos="5760" w:leader="none"/>
        </w:tabs>
        <w:spacing w:lineRule="auto" w:line="240" w:before="0" w:after="60"/>
        <w:ind w:start="5040" w:end="0"/>
        <w:rPr>
          <w:rFonts w:ascii="Times" w:hAnsi="Times" w:cs="Times"/>
          <w:sz w:val="22"/>
        </w:rPr>
      </w:pPr>
      <w:r>
        <w:rPr>
          <w:rFonts w:cs="Times" w:ascii="Times" w:hAnsi="Times"/>
          <w:sz w:val="22"/>
        </w:rPr>
        <w:t>Ref:</w:t>
        <w:tab/>
        <w:t>CXW</w:t>
      </w:r>
    </w:p>
    <w:p>
      <w:pPr>
        <w:pStyle w:val="Normal"/>
        <w:tabs>
          <w:tab w:val="clear" w:pos="720"/>
          <w:tab w:val="left" w:pos="5760" w:leader="none"/>
        </w:tabs>
        <w:spacing w:lineRule="auto" w:line="240" w:before="0" w:after="60"/>
        <w:ind w:start="5040" w:end="0"/>
        <w:rPr>
          <w:rFonts w:ascii="Times" w:hAnsi="Times" w:cs="Times"/>
          <w:sz w:val="22"/>
        </w:rPr>
      </w:pPr>
      <w:r>
        <w:rPr>
          <w:rFonts w:cs="Times" w:ascii="Times" w:hAnsi="Times"/>
          <w:sz w:val="22"/>
        </w:rPr>
        <w:t>Tel:</w:t>
        <w:tab/>
        <w:t>+852 2842 4888</w:t>
      </w:r>
    </w:p>
    <w:p>
      <w:pPr>
        <w:pStyle w:val="Normal"/>
        <w:tabs>
          <w:tab w:val="clear" w:pos="720"/>
          <w:tab w:val="left" w:pos="5760" w:leader="none"/>
        </w:tabs>
        <w:spacing w:lineRule="auto" w:line="240" w:before="0" w:after="60"/>
        <w:ind w:start="5040" w:end="0"/>
        <w:rPr>
          <w:rFonts w:ascii="Times" w:hAnsi="Times" w:cs="Times"/>
          <w:sz w:val="22"/>
        </w:rPr>
      </w:pPr>
      <w:r>
        <w:rPr>
          <w:rFonts w:cs="Times" w:ascii="Times" w:hAnsi="Times"/>
          <w:sz w:val="22"/>
        </w:rPr>
        <w:t>Fax:</w:t>
        <w:tab/>
        <w:t>+852 2810 8133</w:t>
      </w:r>
    </w:p>
    <w:p>
      <w:pPr>
        <w:pStyle w:val="Normal"/>
        <w:tabs>
          <w:tab w:val="clear" w:pos="720"/>
          <w:tab w:val="left" w:pos="5760" w:leader="none"/>
        </w:tabs>
        <w:spacing w:lineRule="auto" w:line="240" w:before="0" w:after="60"/>
        <w:ind w:start="5040" w:end="0"/>
        <w:rPr>
          <w:rFonts w:ascii="Times" w:hAnsi="Times" w:cs="Times"/>
          <w:b/>
          <w:sz w:val="22"/>
        </w:rPr>
      </w:pPr>
      <w:r>
        <w:rPr>
          <w:rFonts w:cs="Times" w:ascii="Times" w:hAnsi="Times"/>
          <w:sz w:val="22"/>
        </w:rPr>
        <w:t>E-mail:</w:t>
        <w:tab/>
        <w:t>christopher.walker@linklaters.com</w:t>
      </w:r>
    </w:p>
    <w:p>
      <w:pPr>
        <w:pStyle w:val="Normal"/>
        <w:spacing w:lineRule="auto" w:line="240"/>
        <w:ind w:start="5040" w:end="0"/>
        <w:rPr>
          <w:rFonts w:ascii="Times" w:hAnsi="Times" w:cs="Times"/>
          <w:sz w:val="22"/>
          <w:u w:val="single"/>
        </w:rPr>
      </w:pPr>
      <w:r>
        <w:rPr>
          <w:rFonts w:cs="Times" w:ascii="Times" w:hAnsi="Times"/>
          <w:sz w:val="22"/>
          <w:u w:val="single"/>
        </w:rPr>
        <w:t>Solicitors for the Claimant</w:t>
      </w:r>
    </w:p>
    <w:sectPr>
      <w:headerReference w:type="default" r:id="rId4"/>
      <w:headerReference w:type="first" r:id="rId5"/>
      <w:footerReference w:type="default" r:id="rId6"/>
      <w:footerReference w:type="first" r:id="rId7"/>
      <w:type w:val="nextPage"/>
      <w:pgSz w:w="11906" w:h="16838"/>
      <w:pgMar w:left="1800" w:right="1152" w:gutter="0" w:header="763" w:top="1440" w:footer="475" w:bottom="131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Times">
    <w:altName w:val="Times New Roman"/>
    <w:charset w:val="00" w:characterSet="windows-1252"/>
    <w:family w:val="roman"/>
    <w:pitch w:val="variable"/>
  </w:font>
  <w:font w:name="Tahoma">
    <w:charset w:val="00" w:characterSet="windows-1252"/>
    <w:family w:val="swiss"/>
    <w:pitch w:val="variable"/>
  </w:font>
  <w:font w:name="Baskerville BT">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rFonts w:ascii="Times" w:hAnsi="Times" w:cs="Times"/>
        <w:sz w:val="18"/>
      </w:rPr>
    </w:pPr>
    <w:r>
      <w:rPr>
        <w:rFonts w:cs="Times" w:ascii="Times" w:hAnsi="Times"/>
        <w:sz w:val="18"/>
      </w:rPr>
      <w:fldChar w:fldCharType="begin"/>
    </w:r>
    <w:r>
      <w:rPr>
        <w:sz w:val="18"/>
        <w:rFonts w:cs="Times" w:ascii="Times" w:hAnsi="Times"/>
      </w:rPr>
      <w:instrText xml:space="preserve"> DOCPROPERTY "Document Number"</w:instrText>
    </w:r>
    <w:r>
      <w:rPr>
        <w:sz w:val="18"/>
        <w:rFonts w:cs="Times" w:ascii="Times" w:hAnsi="Times"/>
      </w:rPr>
      <w:fldChar w:fldCharType="separate"/>
    </w:r>
    <w:r>
      <w:rPr>
        <w:sz w:val="18"/>
        <w:rFonts w:cs="Times" w:ascii="Times" w:hAnsi="Times"/>
      </w:rPr>
      <w:t>A01264036</w:t>
    </w:r>
    <w:r>
      <w:rPr>
        <w:sz w:val="18"/>
        <w:rFonts w:cs="Times" w:ascii="Times" w:hAnsi="Times"/>
      </w:rPr>
      <w:fldChar w:fldCharType="end"/>
    </w:r>
    <w:r>
      <w:rPr>
        <w:rFonts w:cs="Times" w:ascii="Times" w:hAnsi="Times"/>
        <w:sz w:val="18"/>
      </w:rPr>
      <w:t>/</w:t>
    </w:r>
    <w:r>
      <w:rPr>
        <w:rFonts w:cs="Times" w:ascii="Times" w:hAnsi="Times"/>
        <w:sz w:val="18"/>
      </w:rPr>
      <w:fldChar w:fldCharType="begin"/>
    </w:r>
    <w:r>
      <w:rPr>
        <w:sz w:val="18"/>
        <w:rFonts w:cs="Times" w:ascii="Times" w:hAnsi="Times"/>
      </w:rPr>
      <w:instrText xml:space="preserve"> DOCPROPERTY "Version"</w:instrText>
    </w:r>
    <w:r>
      <w:rPr>
        <w:sz w:val="18"/>
        <w:rFonts w:cs="Times" w:ascii="Times" w:hAnsi="Times"/>
      </w:rPr>
      <w:fldChar w:fldCharType="separate"/>
    </w:r>
    <w:r>
      <w:rPr>
        <w:sz w:val="18"/>
        <w:rFonts w:cs="Times" w:ascii="Times" w:hAnsi="Times"/>
      </w:rPr>
      <w:t>1.1a</w:t>
    </w:r>
    <w:r>
      <w:rPr>
        <w:sz w:val="18"/>
        <w:rFonts w:cs="Times" w:ascii="Times" w:hAnsi="Times"/>
      </w:rPr>
      <w:fldChar w:fldCharType="end"/>
    </w:r>
    <w:r>
      <w:rPr>
        <w:rFonts w:cs="Times" w:ascii="Times" w:hAnsi="Times"/>
        <w:sz w:val="18"/>
      </w:rPr>
      <w:t>/</w:t>
    </w:r>
    <w:r>
      <w:rPr>
        <w:rFonts w:cs="Times" w:ascii="Times" w:hAnsi="Times"/>
        <w:sz w:val="18"/>
      </w:rPr>
      <w:fldChar w:fldCharType="begin"/>
    </w:r>
    <w:r>
      <w:rPr>
        <w:sz w:val="18"/>
        <w:rFonts w:cs="Times" w:ascii="Times" w:hAnsi="Times"/>
      </w:rPr>
      <w:instrText xml:space="preserve"> DOCPROPERTY "Last Modified"</w:instrText>
    </w:r>
    <w:r>
      <w:rPr>
        <w:sz w:val="18"/>
        <w:rFonts w:cs="Times" w:ascii="Times" w:hAnsi="Times"/>
      </w:rPr>
      <w:fldChar w:fldCharType="separate"/>
    </w:r>
    <w:r>
      <w:rPr>
        <w:sz w:val="18"/>
        <w:rFonts w:cs="Times" w:ascii="Times" w:hAnsi="Times"/>
      </w:rPr>
      <w:t>03 Apr 2001</w:t>
    </w:r>
    <w:r>
      <w:rPr>
        <w:sz w:val="18"/>
        <w:rFonts w:cs="Times" w:ascii="Times" w:hAnsi="Times"/>
      </w:rPr>
      <w:fldChar w:fldCharType="end"/>
    </w:r>
  </w:p>
  <w:p>
    <w:pPr>
      <w:pStyle w:val="Footer"/>
      <w:pBdr>
        <w:top w:val="nil"/>
      </w:pBdr>
      <w:jc w:val="center"/>
      <w:rPr/>
    </w:pPr>
    <w:r>
      <w:rPr>
        <w:rStyle w:val="PageNumber"/>
        <w:rFonts w:cs="Times" w:ascii="Times" w:hAnsi="Times"/>
        <w:sz w:val="22"/>
      </w:rPr>
      <w:t xml:space="preserve">- </w:t>
    </w:r>
    <w:r>
      <w:rPr>
        <w:rStyle w:val="PageNumber"/>
        <w:rFonts w:cs="Times" w:ascii="Times" w:hAnsi="Times"/>
        <w:sz w:val="22"/>
      </w:rPr>
      <w:fldChar w:fldCharType="begin"/>
    </w:r>
    <w:r>
      <w:rPr>
        <w:rStyle w:val="PageNumber"/>
        <w:sz w:val="22"/>
        <w:rFonts w:cs="Times" w:ascii="Times" w:hAnsi="Times"/>
      </w:rPr>
      <w:instrText xml:space="preserve"> PAGE </w:instrText>
    </w:r>
    <w:r>
      <w:rPr>
        <w:rStyle w:val="PageNumber"/>
        <w:sz w:val="22"/>
        <w:rFonts w:cs="Times" w:ascii="Times" w:hAnsi="Times"/>
      </w:rPr>
      <w:fldChar w:fldCharType="separate"/>
    </w:r>
    <w:r>
      <w:rPr>
        <w:rStyle w:val="PageNumber"/>
        <w:sz w:val="22"/>
        <w:rFonts w:cs="Times" w:ascii="Times" w:hAnsi="Times"/>
      </w:rPr>
      <w:t>11</w:t>
    </w:r>
    <w:r>
      <w:rPr>
        <w:rStyle w:val="PageNumber"/>
        <w:sz w:val="22"/>
        <w:rFonts w:cs="Times" w:ascii="Times" w:hAnsi="Times"/>
      </w:rPr>
      <w:fldChar w:fldCharType="end"/>
    </w:r>
    <w:r>
      <w:rPr>
        <w:rStyle w:val="PageNumber"/>
        <w:rFonts w:cs="Times" w:ascii="Times" w:hAnsi="Times"/>
        <w:sz w:val="22"/>
      </w:rPr>
      <w:t xml:space="preserve"> -</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rFonts w:ascii="Times" w:hAnsi="Times" w:cs="Times"/>
        <w:sz w:val="18"/>
      </w:rPr>
    </w:pPr>
    <w:r>
      <w:rPr>
        <w:rFonts w:cs="Times" w:ascii="Times" w:hAnsi="Times"/>
        <w:sz w:val="18"/>
      </w:rPr>
      <w:fldChar w:fldCharType="begin"/>
    </w:r>
    <w:r>
      <w:rPr>
        <w:sz w:val="18"/>
        <w:rFonts w:cs="Times" w:ascii="Times" w:hAnsi="Times"/>
      </w:rPr>
      <w:instrText xml:space="preserve"> DOCPROPERTY "Document Number"</w:instrText>
    </w:r>
    <w:r>
      <w:rPr>
        <w:sz w:val="18"/>
        <w:rFonts w:cs="Times" w:ascii="Times" w:hAnsi="Times"/>
      </w:rPr>
      <w:fldChar w:fldCharType="separate"/>
    </w:r>
    <w:r>
      <w:rPr>
        <w:sz w:val="18"/>
        <w:rFonts w:cs="Times" w:ascii="Times" w:hAnsi="Times"/>
      </w:rPr>
      <w:t>A01264036</w:t>
    </w:r>
    <w:r>
      <w:rPr>
        <w:sz w:val="18"/>
        <w:rFonts w:cs="Times" w:ascii="Times" w:hAnsi="Times"/>
      </w:rPr>
      <w:fldChar w:fldCharType="end"/>
    </w:r>
    <w:r>
      <w:rPr>
        <w:rFonts w:cs="Times" w:ascii="Times" w:hAnsi="Times"/>
        <w:sz w:val="18"/>
      </w:rPr>
      <w:t>/</w:t>
    </w:r>
    <w:r>
      <w:rPr>
        <w:rFonts w:cs="Times" w:ascii="Times" w:hAnsi="Times"/>
        <w:sz w:val="18"/>
      </w:rPr>
      <w:fldChar w:fldCharType="begin"/>
    </w:r>
    <w:r>
      <w:rPr>
        <w:sz w:val="18"/>
        <w:rFonts w:cs="Times" w:ascii="Times" w:hAnsi="Times"/>
      </w:rPr>
      <w:instrText xml:space="preserve"> DOCPROPERTY "Version"</w:instrText>
    </w:r>
    <w:r>
      <w:rPr>
        <w:sz w:val="18"/>
        <w:rFonts w:cs="Times" w:ascii="Times" w:hAnsi="Times"/>
      </w:rPr>
      <w:fldChar w:fldCharType="separate"/>
    </w:r>
    <w:r>
      <w:rPr>
        <w:sz w:val="18"/>
        <w:rFonts w:cs="Times" w:ascii="Times" w:hAnsi="Times"/>
      </w:rPr>
      <w:t>1.1a</w:t>
    </w:r>
    <w:r>
      <w:rPr>
        <w:sz w:val="18"/>
        <w:rFonts w:cs="Times" w:ascii="Times" w:hAnsi="Times"/>
      </w:rPr>
      <w:fldChar w:fldCharType="end"/>
    </w:r>
    <w:r>
      <w:rPr>
        <w:rFonts w:cs="Times" w:ascii="Times" w:hAnsi="Times"/>
        <w:sz w:val="18"/>
      </w:rPr>
      <w:t>/</w:t>
    </w:r>
    <w:r>
      <w:rPr>
        <w:rFonts w:cs="Times" w:ascii="Times" w:hAnsi="Times"/>
        <w:sz w:val="18"/>
      </w:rPr>
      <w:fldChar w:fldCharType="begin"/>
    </w:r>
    <w:r>
      <w:rPr>
        <w:sz w:val="18"/>
        <w:rFonts w:cs="Times" w:ascii="Times" w:hAnsi="Times"/>
      </w:rPr>
      <w:instrText xml:space="preserve"> DOCPROPERTY "Last Modified"</w:instrText>
    </w:r>
    <w:r>
      <w:rPr>
        <w:sz w:val="18"/>
        <w:rFonts w:cs="Times" w:ascii="Times" w:hAnsi="Times"/>
      </w:rPr>
      <w:fldChar w:fldCharType="separate"/>
    </w:r>
    <w:r>
      <w:rPr>
        <w:sz w:val="18"/>
        <w:rFonts w:cs="Times" w:ascii="Times" w:hAnsi="Times"/>
      </w:rPr>
      <w:t>03 Apr 2001</w:t>
    </w:r>
    <w:r>
      <w:rPr>
        <w:sz w:val="18"/>
        <w:rFonts w:cs="Times" w:ascii="Times" w:hAnsi="Times"/>
      </w:rPr>
      <w:fldChar w:fldCharType="end"/>
    </w:r>
  </w:p>
  <w:p>
    <w:pPr>
      <w:pStyle w:val="Normal"/>
      <w:jc w:val="center"/>
      <w:rPr>
        <w:rFonts w:ascii="Times" w:hAnsi="Times" w:cs="Times"/>
        <w:sz w:val="18"/>
      </w:rPr>
    </w:pPr>
    <w:r>
      <w:rPr>
        <w:rFonts w:cs="Times" w:ascii="Times" w:hAnsi="Times"/>
        <w:sz w:val="18"/>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lang w:val="en-US"/>
      </w:rPr>
    </w:pPr>
    <w:r>
      <w:rPr>
        <w:lang w:val="en-US"/>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567"/>
        </w:tabs>
        <w:ind w:start="567" w:hanging="567"/>
      </w:pPr>
      <w:rPr>
        <w:sz w:val="22"/>
        <w:i w:val="false"/>
        <w:b/>
        <w:rFonts w:ascii="Arial" w:hAnsi="Arial" w:cs="Arial"/>
      </w:rPr>
    </w:lvl>
    <w:lvl w:ilvl="1">
      <w:start w:val="1"/>
      <w:numFmt w:val="decimal"/>
      <w:lvlText w:val="%1.%2"/>
      <w:lvlJc w:val="start"/>
      <w:pPr>
        <w:tabs>
          <w:tab w:val="num" w:pos="1247"/>
        </w:tabs>
        <w:ind w:start="1247" w:hanging="680"/>
      </w:pPr>
      <w:rPr>
        <w:sz w:val="21"/>
        <w:i w:val="false"/>
        <w:b/>
        <w:rFonts w:ascii="Arial" w:hAnsi="Arial" w:cs="Arial"/>
      </w:rPr>
    </w:lvl>
    <w:lvl w:ilvl="2">
      <w:start w:val="1"/>
      <w:numFmt w:val="decimal"/>
      <w:lvlText w:val="%1.%2.%3"/>
      <w:lvlJc w:val="start"/>
      <w:pPr>
        <w:tabs>
          <w:tab w:val="num" w:pos="2041"/>
        </w:tabs>
        <w:ind w:start="2041" w:hanging="794"/>
      </w:pPr>
      <w:rPr>
        <w:sz w:val="17"/>
        <w:i w:val="false"/>
        <w:b/>
        <w:rFonts w:ascii="Arial" w:hAnsi="Arial" w:cs="Arial"/>
      </w:rPr>
    </w:lvl>
    <w:lvl w:ilvl="3">
      <w:start w:val="1"/>
      <w:numFmt w:val="lowerRoman"/>
      <w:lvlText w:val="(%4)"/>
      <w:lvlJc w:val="start"/>
      <w:pPr>
        <w:tabs>
          <w:tab w:val="num" w:pos="2722"/>
        </w:tabs>
        <w:ind w:start="2722" w:hanging="681"/>
      </w:pPr>
      <w:rPr>
        <w:sz w:val="20"/>
        <w:i w:val="false"/>
        <w:b w:val="false"/>
        <w:rFonts w:ascii="Arial" w:hAnsi="Arial" w:cs="Arial"/>
      </w:rPr>
    </w:lvl>
    <w:lvl w:ilvl="4">
      <w:start w:val="1"/>
      <w:numFmt w:val="lowerLetter"/>
      <w:lvlText w:val="(%5)"/>
      <w:lvlJc w:val="start"/>
      <w:pPr>
        <w:tabs>
          <w:tab w:val="num" w:pos="3289"/>
        </w:tabs>
        <w:ind w:start="3289" w:hanging="567"/>
      </w:pPr>
      <w:rPr>
        <w:sz w:val="20"/>
        <w:i w:val="false"/>
        <w:b w:val="false"/>
        <w:rFonts w:ascii="Arial" w:hAnsi="Arial" w:cs="Arial"/>
      </w:rPr>
    </w:lvl>
    <w:lvl w:ilvl="5">
      <w:start w:val="1"/>
      <w:numFmt w:val="upperRoman"/>
      <w:lvlText w:val="(%6)"/>
      <w:lvlJc w:val="start"/>
      <w:pPr>
        <w:tabs>
          <w:tab w:val="num" w:pos="3969"/>
        </w:tabs>
        <w:ind w:start="3969" w:hanging="680"/>
      </w:pPr>
      <w:rPr>
        <w:sz w:val="20"/>
        <w:i w:val="false"/>
        <w:b w:val="false"/>
        <w:rFonts w:ascii="Arial" w:hAnsi="Arial" w:cs="Arial"/>
      </w:rPr>
    </w:lvl>
    <w:lvl w:ilvl="6">
      <w:start w:val="1"/>
      <w:numFmt w:val="decimal"/>
      <w:lvlText w:val="%1.%2.%3.%4.%5.%6.%7."/>
      <w:lvlJc w:val="start"/>
      <w:pPr>
        <w:tabs>
          <w:tab w:val="num" w:pos="3600"/>
        </w:tabs>
        <w:ind w:start="3240" w:hanging="1080"/>
      </w:pPr>
    </w:lvl>
    <w:lvl w:ilvl="7">
      <w:start w:val="1"/>
      <w:numFmt w:val="decimal"/>
      <w:lvlText w:val="%1.%2.%3.%4.%5.%6.%7.%8."/>
      <w:lvlJc w:val="start"/>
      <w:pPr>
        <w:tabs>
          <w:tab w:val="num" w:pos="3960"/>
        </w:tabs>
        <w:ind w:start="3744" w:hanging="1224"/>
      </w:pPr>
    </w:lvl>
    <w:lvl w:ilvl="8">
      <w:start w:val="1"/>
      <w:numFmt w:val="decimal"/>
      <w:lvlText w:val="%1.%2.%3.%4.%5.%6.%7.%8.%9."/>
      <w:lvlJc w:val="start"/>
      <w:pPr>
        <w:tabs>
          <w:tab w:val="num" w:pos="4680"/>
        </w:tabs>
        <w:ind w:start="4320" w:hanging="1440"/>
      </w:pPr>
    </w:lvl>
  </w:abstractNum>
  <w:abstractNum w:abstractNumId="3">
    <w:lvl w:ilvl="0">
      <w:start w:val="1"/>
      <w:numFmt w:val="upperLetter"/>
      <w:lvlText w:val="(%1)"/>
      <w:lvlJc w:val="start"/>
      <w:pPr>
        <w:tabs>
          <w:tab w:val="num" w:pos="0"/>
        </w:tabs>
        <w:ind w:start="0" w:hanging="720"/>
      </w:pPr>
      <w:rPr>
        <w:sz w:val="22"/>
        <w:i w:val="false"/>
        <w:b/>
        <w:rFonts w:ascii="Times" w:hAnsi="Times" w:cs="Times"/>
      </w:rPr>
    </w:lvl>
  </w:abstractNum>
  <w:abstractNum w:abstractNumId="4">
    <w:lvl w:ilvl="0">
      <w:start w:val="1"/>
      <w:numFmt w:val="decimal"/>
      <w:lvlText w:val="%1"/>
      <w:lvlJc w:val="start"/>
      <w:pPr>
        <w:tabs>
          <w:tab w:val="num" w:pos="567"/>
        </w:tabs>
        <w:ind w:start="567" w:hanging="567"/>
      </w:pPr>
      <w:rPr>
        <w:sz w:val="20"/>
        <w:i w:val="false"/>
        <w:b/>
        <w:rFonts w:ascii="Arial" w:hAnsi="Arial" w:cs="Arial"/>
      </w:rPr>
    </w:lvl>
    <w:lvl w:ilvl="1">
      <w:start w:val="1"/>
      <w:numFmt w:val="decimal"/>
      <w:lvlText w:val="%1.%2"/>
      <w:lvlJc w:val="start"/>
      <w:pPr>
        <w:tabs>
          <w:tab w:val="num" w:pos="567"/>
        </w:tabs>
        <w:ind w:start="567" w:hanging="567"/>
      </w:pPr>
      <w:rPr>
        <w:sz w:val="20"/>
        <w:i w:val="false"/>
        <w:b/>
        <w:rFonts w:ascii="Arial" w:hAnsi="Arial" w:cs="Arial"/>
      </w:rPr>
    </w:lvl>
    <w:lvl w:ilvl="2">
      <w:start w:val="1"/>
      <w:numFmt w:val="decimal"/>
      <w:lvlText w:val="%1.%2.%3"/>
      <w:lvlJc w:val="start"/>
      <w:pPr>
        <w:tabs>
          <w:tab w:val="num" w:pos="567"/>
        </w:tabs>
        <w:ind w:start="567" w:hanging="567"/>
      </w:pPr>
      <w:rPr>
        <w:sz w:val="17"/>
        <w:i w:val="false"/>
        <w:b/>
        <w:rFonts w:ascii="Arial" w:hAnsi="Arial" w:cs="Arial"/>
      </w:rPr>
    </w:lvl>
    <w:lvl w:ilvl="3">
      <w:start w:val="1"/>
      <w:numFmt w:val="lowerRoman"/>
      <w:lvlText w:val="(%4)"/>
      <w:lvlJc w:val="start"/>
      <w:pPr>
        <w:tabs>
          <w:tab w:val="num" w:pos="720"/>
        </w:tabs>
        <w:ind w:start="567" w:hanging="567"/>
      </w:pPr>
      <w:rPr>
        <w:sz w:val="20"/>
        <w:i w:val="false"/>
        <w:b w:val="false"/>
        <w:rFonts w:ascii="Arial" w:hAnsi="Arial" w:cs="Arial"/>
      </w:rPr>
    </w:lvl>
    <w:lvl w:ilvl="4">
      <w:start w:val="1"/>
      <w:numFmt w:val="lowerLetter"/>
      <w:lvlText w:val="(%5)"/>
      <w:lvlJc w:val="start"/>
      <w:pPr>
        <w:tabs>
          <w:tab w:val="num" w:pos="567"/>
        </w:tabs>
        <w:ind w:start="567" w:hanging="567"/>
      </w:pPr>
      <w:rPr>
        <w:sz w:val="20"/>
        <w:i w:val="false"/>
        <w:b w:val="false"/>
        <w:rFonts w:ascii="Arial" w:hAnsi="Arial" w:cs="Arial"/>
      </w:rPr>
    </w:lvl>
    <w:lvl w:ilvl="5">
      <w:start w:val="1"/>
      <w:numFmt w:val="upperRoman"/>
      <w:lvlText w:val="(%6)"/>
      <w:lvlJc w:val="start"/>
      <w:pPr>
        <w:tabs>
          <w:tab w:val="num" w:pos="720"/>
        </w:tabs>
        <w:ind w:start="567" w:hanging="567"/>
      </w:pPr>
      <w:rPr>
        <w:sz w:val="20"/>
        <w:i w:val="false"/>
        <w:b w:val="false"/>
        <w:rFonts w:ascii="Arial" w:hAnsi="Arial" w:cs="Arial"/>
      </w:rPr>
    </w:lvl>
    <w:lvl w:ilvl="6">
      <w:start w:val="1"/>
      <w:numFmt w:val="none"/>
      <w:suff w:val="nothing"/>
      <w:lvlText w:val=""/>
      <w:lvlJc w:val="start"/>
      <w:pPr>
        <w:ind w:start="32767" w:hanging="0"/>
      </w:pPr>
    </w:lvl>
    <w:lvl w:ilvl="7">
      <w:start w:val="1"/>
      <w:numFmt w:val="none"/>
      <w:suff w:val="nothing"/>
      <w:lvlText w:val=""/>
      <w:lvlJc w:val="start"/>
      <w:pPr>
        <w:ind w:start="32767" w:hanging="0"/>
      </w:pPr>
    </w:lvl>
    <w:lvl w:ilvl="8">
      <w:start w:val="1"/>
      <w:numFmt w:val="none"/>
      <w:suff w:val="nothing"/>
      <w:lvlText w:val=""/>
      <w:lvlJc w:val="start"/>
      <w:pPr>
        <w:ind w:start="32767" w:hanging="0"/>
      </w:pPr>
    </w:lvl>
  </w:abstractNum>
  <w:abstractNum w:abstractNumId="5">
    <w:lvl w:ilvl="0">
      <w:start w:val="1"/>
      <w:numFmt w:val="lowerLetter"/>
      <w:lvlText w:val="(%1)"/>
      <w:lvlJc w:val="start"/>
      <w:pPr>
        <w:tabs>
          <w:tab w:val="num" w:pos="2722"/>
        </w:tabs>
        <w:ind w:start="2722" w:hanging="681"/>
      </w:pPr>
      <w:rPr>
        <w:sz w:val="20"/>
        <w:i w:val="false"/>
        <w:b w:val="false"/>
        <w:rFonts w:ascii="Arial" w:hAnsi="Arial" w:cs="Arial"/>
      </w:rPr>
    </w:lvl>
  </w:abstractNum>
  <w:abstractNum w:abstractNumId="6">
    <w:lvl w:ilvl="0">
      <w:start w:val="1"/>
      <w:numFmt w:val="bullet"/>
      <w:lvlText w:val=""/>
      <w:lvlJc w:val="start"/>
      <w:pPr>
        <w:tabs>
          <w:tab w:val="num" w:pos="3969"/>
        </w:tabs>
        <w:ind w:start="3969" w:hanging="680"/>
      </w:pPr>
      <w:rPr>
        <w:rFonts w:ascii="Symbol" w:hAnsi="Symbol" w:cs="Symbol" w:hint="default"/>
      </w:rPr>
    </w:lvl>
  </w:abstractNum>
  <w:abstractNum w:abstractNumId="7">
    <w:lvl w:ilvl="0">
      <w:start w:val="1"/>
      <w:numFmt w:val="bullet"/>
      <w:lvlText w:val=""/>
      <w:lvlJc w:val="start"/>
      <w:pPr>
        <w:tabs>
          <w:tab w:val="num" w:pos="567"/>
        </w:tabs>
        <w:ind w:start="567" w:hanging="567"/>
      </w:pPr>
      <w:rPr>
        <w:rFonts w:ascii="Symbol" w:hAnsi="Symbol" w:cs="Symbol" w:hint="default"/>
      </w:rPr>
    </w:lvl>
  </w:abstractNum>
  <w:abstractNum w:abstractNumId="8">
    <w:lvl w:ilvl="0">
      <w:start w:val="1"/>
      <w:numFmt w:val="lowerLetter"/>
      <w:lvlText w:val="(%1)"/>
      <w:lvlJc w:val="start"/>
      <w:pPr>
        <w:tabs>
          <w:tab w:val="num" w:pos="567"/>
        </w:tabs>
        <w:ind w:start="567" w:hanging="567"/>
      </w:pPr>
      <w:rPr>
        <w:sz w:val="20"/>
        <w:i w:val="false"/>
        <w:b w:val="false"/>
        <w:rFonts w:ascii="Arial" w:hAnsi="Arial" w:cs="Arial"/>
      </w:rPr>
    </w:lvl>
  </w:abstractNum>
  <w:abstractNum w:abstractNumId="9">
    <w:lvl w:ilvl="0">
      <w:start w:val="1"/>
      <w:numFmt w:val="bullet"/>
      <w:lvlText w:val=""/>
      <w:lvlJc w:val="start"/>
      <w:pPr>
        <w:tabs>
          <w:tab w:val="num" w:pos="2722"/>
        </w:tabs>
        <w:ind w:start="2722" w:hanging="681"/>
      </w:pPr>
      <w:rPr>
        <w:rFonts w:ascii="Symbol" w:hAnsi="Symbol" w:cs="Symbol" w:hint="default"/>
      </w:rPr>
    </w:lvl>
  </w:abstractNum>
  <w:abstractNum w:abstractNumId="10">
    <w:lvl w:ilvl="0">
      <w:start w:val="1"/>
      <w:numFmt w:val="lowerLetter"/>
      <w:lvlText w:val="(%1)"/>
      <w:lvlJc w:val="start"/>
      <w:pPr>
        <w:tabs>
          <w:tab w:val="num" w:pos="2041"/>
        </w:tabs>
        <w:ind w:start="2041" w:hanging="794"/>
      </w:pPr>
      <w:rPr>
        <w:sz w:val="20"/>
        <w:i w:val="false"/>
        <w:b w:val="false"/>
        <w:rFonts w:ascii="Arial" w:hAnsi="Arial" w:cs="Arial"/>
      </w:rPr>
    </w:lvl>
  </w:abstractNum>
  <w:abstractNum w:abstractNumId="11">
    <w:lvl w:ilvl="0">
      <w:start w:val="1"/>
      <w:numFmt w:val="bullet"/>
      <w:lvlText w:val=""/>
      <w:lvlJc w:val="start"/>
      <w:pPr>
        <w:tabs>
          <w:tab w:val="num" w:pos="2041"/>
        </w:tabs>
        <w:ind w:start="2041" w:hanging="794"/>
      </w:pPr>
      <w:rPr>
        <w:rFonts w:ascii="Symbol" w:hAnsi="Symbol" w:cs="Symbol" w:hint="default"/>
      </w:rPr>
    </w:lvl>
  </w:abstractNum>
  <w:abstractNum w:abstractNumId="12">
    <w:lvl w:ilvl="0">
      <w:start w:val="1"/>
      <w:numFmt w:val="lowerLetter"/>
      <w:lvlText w:val="(%1)"/>
      <w:lvlJc w:val="start"/>
      <w:pPr>
        <w:tabs>
          <w:tab w:val="num" w:pos="3969"/>
        </w:tabs>
        <w:ind w:start="3969" w:hanging="680"/>
      </w:pPr>
      <w:rPr>
        <w:sz w:val="20"/>
        <w:i w:val="false"/>
        <w:b w:val="false"/>
        <w:rFonts w:ascii="Arial" w:hAnsi="Arial" w:cs="Arial"/>
      </w:rPr>
    </w:lvl>
  </w:abstractNum>
  <w:abstractNum w:abstractNumId="13">
    <w:lvl w:ilvl="0">
      <w:start w:val="1"/>
      <w:numFmt w:val="decimal"/>
      <w:lvlText w:val="%1"/>
      <w:lvlJc w:val="start"/>
      <w:pPr>
        <w:tabs>
          <w:tab w:val="num" w:pos="567"/>
        </w:tabs>
        <w:ind w:start="567" w:hanging="567"/>
      </w:pPr>
      <w:rPr>
        <w:sz w:val="22"/>
        <w:i w:val="false"/>
        <w:b/>
        <w:rFonts w:ascii="Arial" w:hAnsi="Arial" w:cs="Arial"/>
      </w:rPr>
    </w:lvl>
    <w:lvl w:ilvl="1">
      <w:start w:val="1"/>
      <w:numFmt w:val="lowerLetter"/>
      <w:lvlText w:val="(%2)"/>
      <w:lvlJc w:val="start"/>
      <w:pPr>
        <w:tabs>
          <w:tab w:val="num" w:pos="1247"/>
        </w:tabs>
        <w:ind w:start="1247" w:hanging="680"/>
      </w:pPr>
      <w:rPr>
        <w:sz w:val="20"/>
        <w:i w:val="false"/>
        <w:b w:val="false"/>
        <w:rFonts w:ascii="Arial" w:hAnsi="Arial" w:cs="Arial"/>
      </w:rPr>
    </w:lvl>
    <w:lvl w:ilvl="2">
      <w:start w:val="1"/>
      <w:numFmt w:val="lowerRoman"/>
      <w:lvlText w:val="(%3)"/>
      <w:lvlJc w:val="start"/>
      <w:pPr>
        <w:tabs>
          <w:tab w:val="num" w:pos="2041"/>
        </w:tabs>
        <w:ind w:start="2041" w:hanging="794"/>
      </w:pPr>
      <w:rPr>
        <w:sz w:val="20"/>
        <w:i w:val="false"/>
        <w:b w:val="false"/>
        <w:rFonts w:ascii="Arial" w:hAnsi="Arial" w:cs="Arial"/>
      </w:rPr>
    </w:lvl>
    <w:lvl w:ilvl="3">
      <w:start w:val="1"/>
      <w:numFmt w:val="upperLetter"/>
      <w:lvlText w:val="(%4)"/>
      <w:lvlJc w:val="start"/>
      <w:pPr>
        <w:tabs>
          <w:tab w:val="num" w:pos="2722"/>
        </w:tabs>
        <w:ind w:start="2722" w:hanging="681"/>
      </w:pPr>
      <w:rPr>
        <w:sz w:val="20"/>
        <w:i w:val="false"/>
        <w:b w:val="false"/>
        <w:rFonts w:ascii="Arial" w:hAnsi="Arial" w:cs="Arial"/>
      </w:rPr>
    </w:lvl>
    <w:lvl w:ilvl="4">
      <w:start w:val="1"/>
      <w:numFmt w:val="none"/>
      <w:suff w:val="nothing"/>
      <w:lvlText w:val=""/>
      <w:lvlJc w:val="start"/>
      <w:pPr>
        <w:tabs>
          <w:tab w:val="num" w:pos="2608"/>
        </w:tabs>
        <w:ind w:start="2608" w:hanging="567"/>
      </w:pPr>
    </w:lvl>
    <w:lvl w:ilvl="5">
      <w:start w:val="1"/>
      <w:numFmt w:val="none"/>
      <w:suff w:val="nothing"/>
      <w:lvlText w:val=""/>
      <w:lvlJc w:val="start"/>
      <w:pPr>
        <w:tabs>
          <w:tab w:val="num" w:pos="3289"/>
        </w:tabs>
        <w:ind w:start="3289" w:hanging="681"/>
      </w:pPr>
    </w:lvl>
    <w:lvl w:ilvl="6">
      <w:start w:val="1"/>
      <w:numFmt w:val="none"/>
      <w:suff w:val="nothing"/>
      <w:lvlText w:val=""/>
      <w:lvlJc w:val="start"/>
      <w:pPr>
        <w:tabs>
          <w:tab w:val="num" w:pos="3240"/>
        </w:tabs>
        <w:ind w:start="3240" w:hanging="1080"/>
      </w:pPr>
    </w:lvl>
    <w:lvl w:ilvl="7">
      <w:start w:val="1"/>
      <w:numFmt w:val="none"/>
      <w:suff w:val="nothing"/>
      <w:lvlText w:val=""/>
      <w:lvlJc w:val="start"/>
      <w:pPr>
        <w:tabs>
          <w:tab w:val="num" w:pos="3744"/>
        </w:tabs>
        <w:ind w:start="3744" w:hanging="1224"/>
      </w:pPr>
    </w:lvl>
    <w:lvl w:ilvl="8">
      <w:start w:val="1"/>
      <w:numFmt w:val="none"/>
      <w:suff w:val="nothing"/>
      <w:lvlText w:val=""/>
      <w:lvlJc w:val="start"/>
      <w:pPr>
        <w:tabs>
          <w:tab w:val="num" w:pos="4320"/>
        </w:tabs>
        <w:ind w:start="4320" w:hanging="1440"/>
      </w:pPr>
    </w:lvl>
  </w:abstractNum>
  <w:abstractNum w:abstractNumId="14">
    <w:lvl w:ilvl="0">
      <w:start w:val="1"/>
      <w:numFmt w:val="bullet"/>
      <w:lvlText w:val=""/>
      <w:lvlJc w:val="start"/>
      <w:pPr>
        <w:tabs>
          <w:tab w:val="num" w:pos="3289"/>
        </w:tabs>
        <w:ind w:start="3289" w:hanging="567"/>
      </w:pPr>
      <w:rPr>
        <w:rFonts w:ascii="Symbol" w:hAnsi="Symbol" w:cs="Symbol" w:hint="default"/>
      </w:rPr>
    </w:lvl>
  </w:abstractNum>
  <w:abstractNum w:abstractNumId="15">
    <w:lvl w:ilvl="0">
      <w:start w:val="1"/>
      <w:numFmt w:val="lowerLetter"/>
      <w:lvlText w:val="(%1)"/>
      <w:lvlJc w:val="start"/>
      <w:pPr>
        <w:tabs>
          <w:tab w:val="num" w:pos="3289"/>
        </w:tabs>
        <w:ind w:start="3289" w:hanging="567"/>
      </w:pPr>
      <w:rPr>
        <w:sz w:val="20"/>
        <w:i w:val="false"/>
        <w:b w:val="false"/>
        <w:rFonts w:ascii="Arial" w:hAnsi="Arial" w:cs="Arial"/>
      </w:rPr>
    </w:lvl>
  </w:abstractNum>
  <w:abstractNum w:abstractNumId="16">
    <w:lvl w:ilvl="0">
      <w:start w:val="1"/>
      <w:numFmt w:val="lowerLetter"/>
      <w:lvlText w:val="(%1)"/>
      <w:lvlJc w:val="start"/>
      <w:pPr>
        <w:tabs>
          <w:tab w:val="num" w:pos="567"/>
        </w:tabs>
        <w:ind w:start="567" w:hanging="567"/>
      </w:pPr>
      <w:rPr>
        <w:sz w:val="20"/>
        <w:i w:val="false"/>
        <w:b w:val="false"/>
        <w:rFonts w:ascii="Arial" w:hAnsi="Arial" w:cs="Arial"/>
      </w:rPr>
    </w:lvl>
  </w:abstractNum>
  <w:abstractNum w:abstractNumId="17">
    <w:lvl w:ilvl="0">
      <w:start w:val="1"/>
      <w:numFmt w:val="bullet"/>
      <w:lvlText w:val=""/>
      <w:lvlJc w:val="start"/>
      <w:pPr>
        <w:tabs>
          <w:tab w:val="num" w:pos="1418"/>
        </w:tabs>
        <w:ind w:start="1418" w:hanging="567"/>
      </w:pPr>
      <w:rPr>
        <w:rFonts w:ascii="Symbol" w:hAnsi="Symbol" w:cs="Symbol" w:hint="default"/>
      </w:rPr>
    </w:lvl>
  </w:abstractNum>
  <w:abstractNum w:abstractNumId="18">
    <w:lvl w:ilvl="0">
      <w:start w:val="1"/>
      <w:numFmt w:val="decimal"/>
      <w:lvlText w:val="%1."/>
      <w:lvlJc w:val="start"/>
      <w:pPr>
        <w:tabs>
          <w:tab w:val="num" w:pos="720"/>
        </w:tabs>
        <w:ind w:start="720" w:hanging="720"/>
      </w:pPr>
    </w:lvl>
    <w:lvl w:ilvl="1">
      <w:start w:val="1"/>
      <w:numFmt w:val="decimal"/>
      <w:lvlText w:val="(%2)"/>
      <w:lvlJc w:val="start"/>
      <w:pPr>
        <w:tabs>
          <w:tab w:val="num" w:pos="1440"/>
        </w:tabs>
        <w:ind w:start="1440" w:hanging="720"/>
      </w:pPr>
    </w:lvl>
    <w:lvl w:ilvl="2">
      <w:start w:val="1"/>
      <w:numFmt w:val="lowerLetter"/>
      <w:lvlText w:val="(%3)"/>
      <w:lvlJc w:val="start"/>
      <w:pPr>
        <w:tabs>
          <w:tab w:val="num" w:pos="2160"/>
        </w:tabs>
        <w:ind w:start="2160" w:hanging="720"/>
      </w:pPr>
    </w:lvl>
    <w:lvl w:ilvl="3">
      <w:start w:val="1"/>
      <w:numFmt w:val="upperRoman"/>
      <w:lvlText w:val="(%4)"/>
      <w:lvlJc w:val="start"/>
      <w:pPr>
        <w:tabs>
          <w:tab w:val="num" w:pos="2880"/>
        </w:tabs>
        <w:ind w:start="2880" w:hanging="720"/>
      </w:pPr>
    </w:lvl>
    <w:lvl w:ilvl="4">
      <w:start w:val="1"/>
      <w:numFmt w:val="decimal"/>
      <w:lvlText w:val="(%5)"/>
      <w:lvlJc w:val="start"/>
      <w:pPr>
        <w:tabs>
          <w:tab w:val="num" w:pos="3600"/>
        </w:tabs>
        <w:ind w:start="3600" w:hanging="720"/>
      </w:pPr>
    </w:lvl>
    <w:lvl w:ilvl="5">
      <w:start w:val="1"/>
      <w:numFmt w:val="upperLetter"/>
      <w:lvlText w:val="(%6)"/>
      <w:lvlJc w:val="start"/>
      <w:pPr>
        <w:tabs>
          <w:tab w:val="num" w:pos="4320"/>
        </w:tabs>
        <w:ind w:start="4320" w:hanging="720"/>
      </w:pPr>
    </w:lvl>
    <w:lvl w:ilvl="6">
      <w:start w:val="1"/>
      <w:numFmt w:val="lowerRoman"/>
      <w:lvlText w:val="(%7)"/>
      <w:lvlJc w:val="start"/>
      <w:pPr>
        <w:tabs>
          <w:tab w:val="num" w:pos="5040"/>
        </w:tabs>
        <w:ind w:start="5040" w:hanging="720"/>
      </w:pPr>
    </w:lvl>
    <w:lvl w:ilvl="7">
      <w:start w:val="1"/>
      <w:numFmt w:val="lowerLetter"/>
      <w:lvlText w:val="%8."/>
      <w:lvlJc w:val="start"/>
      <w:pPr>
        <w:tabs>
          <w:tab w:val="num" w:pos="2880"/>
        </w:tabs>
        <w:ind w:start="2880" w:hanging="360"/>
      </w:pPr>
    </w:lvl>
    <w:lvl w:ilvl="8">
      <w:start w:val="1"/>
      <w:numFmt w:val="lowerRoman"/>
      <w:lvlText w:val="%9."/>
      <w:lvlJc w:val="start"/>
      <w:pPr>
        <w:tabs>
          <w:tab w:val="num" w:pos="3240"/>
        </w:tabs>
        <w:ind w:start="3240" w:hanging="360"/>
      </w:pPr>
    </w:lvl>
  </w:abstractNum>
  <w:abstractNum w:abstractNumId="19">
    <w:lvl w:ilvl="0">
      <w:start w:val="1"/>
      <w:numFmt w:val="lowerRoman"/>
      <w:lvlText w:val="(%1)"/>
      <w:lvlJc w:val="start"/>
      <w:pPr>
        <w:tabs>
          <w:tab w:val="num" w:pos="2722"/>
        </w:tabs>
        <w:ind w:start="2722" w:hanging="681"/>
      </w:pPr>
      <w:rPr>
        <w:sz w:val="20"/>
        <w:i w:val="false"/>
        <w:b w:val="false"/>
        <w:rFonts w:ascii="Arial" w:hAnsi="Arial" w:cs="Arial"/>
      </w:rPr>
    </w:lvl>
  </w:abstractNum>
  <w:abstractNum w:abstractNumId="20">
    <w:lvl w:ilvl="0">
      <w:start w:val="1"/>
      <w:numFmt w:val="lowerRoman"/>
      <w:lvlText w:val="(%1)"/>
      <w:lvlJc w:val="start"/>
      <w:pPr>
        <w:tabs>
          <w:tab w:val="num" w:pos="720"/>
        </w:tabs>
        <w:ind w:start="567" w:hanging="567"/>
      </w:pPr>
      <w:rPr>
        <w:sz w:val="20"/>
        <w:i w:val="false"/>
        <w:b w:val="false"/>
        <w:rFonts w:ascii="Arial" w:hAnsi="Arial" w:cs="Arial"/>
      </w:rPr>
    </w:lvl>
  </w:abstractNum>
  <w:abstractNum w:abstractNumId="21">
    <w:lvl w:ilvl="0">
      <w:start w:val="1"/>
      <w:numFmt w:val="decimal"/>
      <w:lvlText w:val="%1"/>
      <w:lvlJc w:val="start"/>
      <w:pPr>
        <w:tabs>
          <w:tab w:val="num" w:pos="567"/>
        </w:tabs>
        <w:ind w:start="567" w:hanging="567"/>
      </w:pPr>
      <w:rPr>
        <w:sz w:val="22"/>
        <w:i w:val="false"/>
        <w:b/>
        <w:rFonts w:ascii="Arial" w:hAnsi="Arial" w:cs="Arial"/>
      </w:rPr>
    </w:lvl>
    <w:lvl w:ilvl="1">
      <w:start w:val="1"/>
      <w:numFmt w:val="decimal"/>
      <w:lvlText w:val="%1.%2"/>
      <w:lvlJc w:val="start"/>
      <w:pPr>
        <w:tabs>
          <w:tab w:val="num" w:pos="1247"/>
        </w:tabs>
        <w:ind w:start="1247" w:hanging="680"/>
      </w:pPr>
      <w:rPr>
        <w:sz w:val="21"/>
        <w:i w:val="false"/>
        <w:b/>
        <w:rFonts w:ascii="Arial" w:hAnsi="Arial" w:cs="Arial"/>
      </w:rPr>
    </w:lvl>
    <w:lvl w:ilvl="2">
      <w:start w:val="1"/>
      <w:numFmt w:val="decimal"/>
      <w:lvlText w:val="%1.%2.%3"/>
      <w:lvlJc w:val="start"/>
      <w:pPr>
        <w:tabs>
          <w:tab w:val="num" w:pos="2041"/>
        </w:tabs>
        <w:ind w:start="2041" w:hanging="794"/>
      </w:pPr>
      <w:rPr>
        <w:sz w:val="17"/>
        <w:i w:val="false"/>
        <w:b/>
        <w:rFonts w:ascii="Arial" w:hAnsi="Arial" w:cs="Arial"/>
      </w:rPr>
    </w:lvl>
    <w:lvl w:ilvl="3">
      <w:start w:val="1"/>
      <w:numFmt w:val="lowerRoman"/>
      <w:lvlText w:val="(%4)"/>
      <w:lvlJc w:val="start"/>
      <w:pPr>
        <w:tabs>
          <w:tab w:val="num" w:pos="2722"/>
        </w:tabs>
        <w:ind w:start="2722" w:hanging="681"/>
      </w:pPr>
      <w:rPr>
        <w:sz w:val="20"/>
        <w:i w:val="false"/>
        <w:b w:val="false"/>
        <w:rFonts w:ascii="Arial" w:hAnsi="Arial" w:cs="Arial"/>
      </w:rPr>
    </w:lvl>
    <w:lvl w:ilvl="4">
      <w:start w:val="1"/>
      <w:numFmt w:val="lowerLetter"/>
      <w:lvlText w:val="(%5)"/>
      <w:lvlJc w:val="start"/>
      <w:pPr>
        <w:tabs>
          <w:tab w:val="num" w:pos="3289"/>
        </w:tabs>
        <w:ind w:start="3289" w:hanging="567"/>
      </w:pPr>
      <w:rPr>
        <w:sz w:val="20"/>
        <w:i w:val="false"/>
        <w:b w:val="false"/>
        <w:rFonts w:ascii="Arial" w:hAnsi="Arial" w:cs="Arial"/>
      </w:rPr>
    </w:lvl>
    <w:lvl w:ilvl="5">
      <w:start w:val="1"/>
      <w:numFmt w:val="upperRoman"/>
      <w:lvlText w:val="(%6)"/>
      <w:lvlJc w:val="start"/>
      <w:pPr>
        <w:tabs>
          <w:tab w:val="num" w:pos="3969"/>
        </w:tabs>
        <w:ind w:start="3969" w:hanging="680"/>
      </w:pPr>
      <w:rPr>
        <w:sz w:val="20"/>
        <w:i w:val="false"/>
        <w:b w:val="false"/>
        <w:rFonts w:ascii="Arial" w:hAnsi="Arial" w:cs="Arial"/>
      </w:rPr>
    </w:lvl>
    <w:lvl w:ilvl="6">
      <w:start w:val="1"/>
      <w:numFmt w:val="decimal"/>
      <w:lvlText w:val="%7."/>
      <w:lvlJc w:val="start"/>
      <w:pPr>
        <w:tabs>
          <w:tab w:val="num" w:pos="2520"/>
        </w:tabs>
        <w:ind w:start="2520" w:hanging="360"/>
      </w:pPr>
    </w:lvl>
    <w:lvl w:ilvl="7">
      <w:start w:val="1"/>
      <w:numFmt w:val="lowerLetter"/>
      <w:lvlText w:val="%8."/>
      <w:lvlJc w:val="start"/>
      <w:pPr>
        <w:tabs>
          <w:tab w:val="num" w:pos="2880"/>
        </w:tabs>
        <w:ind w:start="2880" w:hanging="360"/>
      </w:pPr>
    </w:lvl>
    <w:lvl w:ilvl="8">
      <w:start w:val="1"/>
      <w:numFmt w:val="lowerRoman"/>
      <w:lvlText w:val="%9."/>
      <w:lvlJc w:val="start"/>
      <w:pPr>
        <w:tabs>
          <w:tab w:val="num" w:pos="3240"/>
        </w:tabs>
        <w:ind w:start="3240" w:hanging="360"/>
      </w:pPr>
    </w:lvl>
  </w:abstractNum>
  <w:abstractNum w:abstractNumId="22">
    <w:lvl w:ilvl="0">
      <w:start w:val="1"/>
      <w:numFmt w:val="bullet"/>
      <w:lvlText w:val=""/>
      <w:lvlJc w:val="start"/>
      <w:pPr>
        <w:tabs>
          <w:tab w:val="num" w:pos="1247"/>
        </w:tabs>
        <w:ind w:start="1247" w:hanging="680"/>
      </w:pPr>
      <w:rPr>
        <w:rFonts w:ascii="Symbol" w:hAnsi="Symbol" w:cs="Symbol" w:hint="default"/>
      </w:rPr>
    </w:lvl>
  </w:abstractNum>
  <w:abstractNum w:abstractNumId="23">
    <w:lvl w:ilvl="0">
      <w:start w:val="1"/>
      <w:numFmt w:val="lowerRoman"/>
      <w:lvlText w:val="(%1)"/>
      <w:lvlJc w:val="start"/>
      <w:pPr>
        <w:tabs>
          <w:tab w:val="num" w:pos="2041"/>
        </w:tabs>
        <w:ind w:start="2041" w:hanging="794"/>
      </w:pPr>
      <w:rPr>
        <w:sz w:val="20"/>
        <w:i w:val="false"/>
        <w:b w:val="false"/>
        <w:rFonts w:ascii="Arial" w:hAnsi="Arial" w:cs="Arial"/>
      </w:rPr>
    </w:lvl>
  </w:abstractNum>
  <w:abstractNum w:abstractNumId="24">
    <w:lvl w:ilvl="0">
      <w:start w:val="1"/>
      <w:numFmt w:val="bullet"/>
      <w:lvlText w:val=""/>
      <w:lvlJc w:val="start"/>
      <w:pPr>
        <w:tabs>
          <w:tab w:val="num" w:pos="567"/>
        </w:tabs>
        <w:ind w:start="567" w:hanging="567"/>
      </w:pPr>
      <w:rPr>
        <w:rFonts w:ascii="Symbol" w:hAnsi="Symbol" w:cs="Symbol" w:hint="default"/>
        <w:sz w:val="20"/>
        <w:i w:val="false"/>
        <w:b w:val="false"/>
      </w:rPr>
    </w:lvl>
  </w:abstractNum>
  <w:abstractNum w:abstractNumId="25">
    <w:lvl w:ilvl="0">
      <w:start w:val="1"/>
      <w:numFmt w:val="lowerRoman"/>
      <w:lvlText w:val="(%1)"/>
      <w:lvlJc w:val="start"/>
      <w:pPr>
        <w:tabs>
          <w:tab w:val="num" w:pos="720"/>
        </w:tabs>
        <w:ind w:start="567" w:hanging="567"/>
      </w:pPr>
      <w:rPr>
        <w:sz w:val="20"/>
        <w:i w:val="false"/>
        <w:b w:val="false"/>
        <w:rFonts w:ascii="Arial" w:hAnsi="Arial" w:cs="Arial"/>
      </w:rPr>
    </w:lvl>
  </w:abstractNum>
  <w:abstractNum w:abstractNumId="26">
    <w:lvl w:ilvl="0">
      <w:start w:val="1"/>
      <w:numFmt w:val="decimal"/>
      <w:lvlText w:val="(%1)"/>
      <w:lvlJc w:val="start"/>
      <w:pPr>
        <w:tabs>
          <w:tab w:val="num" w:pos="567"/>
        </w:tabs>
        <w:ind w:start="567" w:hanging="567"/>
      </w:pPr>
      <w:rPr>
        <w:sz w:val="20"/>
        <w:i w:val="false"/>
        <w:b/>
        <w:rFonts w:ascii="Arial" w:hAnsi="Arial" w:cs="Arial"/>
      </w:rPr>
    </w:lvl>
  </w:abstractNum>
  <w:abstractNum w:abstractNumId="27">
    <w:lvl w:ilvl="0">
      <w:start w:val="1"/>
      <w:numFmt w:val="lowerRoman"/>
      <w:lvlText w:val="(%1)"/>
      <w:lvlJc w:val="start"/>
      <w:pPr>
        <w:tabs>
          <w:tab w:val="num" w:pos="3969"/>
        </w:tabs>
        <w:ind w:start="3969" w:hanging="680"/>
      </w:pPr>
      <w:rPr>
        <w:sz w:val="20"/>
        <w:i w:val="false"/>
        <w:b w:val="false"/>
        <w:rFonts w:ascii="Arial" w:hAnsi="Arial" w:cs="Arial"/>
      </w:rPr>
    </w:lvl>
  </w:abstractNum>
  <w:abstractNum w:abstractNumId="28">
    <w:lvl w:ilvl="0">
      <w:start w:val="1"/>
      <w:numFmt w:val="lowerLetter"/>
      <w:lvlText w:val="(%1)"/>
      <w:lvlJc w:val="start"/>
      <w:pPr>
        <w:tabs>
          <w:tab w:val="num" w:pos="1247"/>
        </w:tabs>
        <w:ind w:start="1247" w:hanging="680"/>
      </w:pPr>
      <w:rPr>
        <w:sz w:val="20"/>
        <w:i w:val="false"/>
        <w:b w:val="false"/>
        <w:rFonts w:ascii="Arial" w:hAnsi="Arial" w:cs="Arial"/>
      </w:rPr>
    </w:lvl>
  </w:abstractNum>
  <w:abstractNum w:abstractNumId="29">
    <w:lvl w:ilvl="0">
      <w:start w:val="1"/>
      <w:numFmt w:val="lowerRoman"/>
      <w:lvlText w:val="(%1)"/>
      <w:lvlJc w:val="start"/>
      <w:pPr>
        <w:tabs>
          <w:tab w:val="num" w:pos="3442"/>
        </w:tabs>
        <w:ind w:start="3289" w:hanging="567"/>
      </w:pPr>
      <w:rPr>
        <w:sz w:val="20"/>
        <w:i w:val="false"/>
        <w:b w:val="false"/>
        <w:rFonts w:ascii="Arial" w:hAnsi="Arial" w:cs="Arial"/>
      </w:rPr>
    </w:lvl>
  </w:abstractNum>
  <w:abstractNum w:abstractNumId="30">
    <w:lvl w:ilvl="0">
      <w:start w:val="1"/>
      <w:numFmt w:val="lowerRoman"/>
      <w:lvlText w:val="(%1)"/>
      <w:lvlJc w:val="start"/>
      <w:pPr>
        <w:tabs>
          <w:tab w:val="num" w:pos="1247"/>
        </w:tabs>
        <w:ind w:start="1247" w:hanging="680"/>
      </w:pPr>
      <w:rPr>
        <w:sz w:val="20"/>
        <w:i w:val="false"/>
        <w:b w:val="false"/>
        <w:rFonts w:ascii="Arial" w:hAnsi="Arial" w:cs="Arial"/>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bering>
</file>

<file path=word/settings.xml><?xml version="1.0" encoding="utf-8"?>
<w:settings xmlns:w="http://schemas.openxmlformats.org/wordprocessingml/2006/main">
  <w:zoom w:percent="1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spacing w:lineRule="auto" w:line="288"/>
    </w:pPr>
    <w:rPr>
      <w:rFonts w:ascii="Arial" w:hAnsi="Arial" w:eastAsia="Times New Roman" w:cs="Arial"/>
      <w:color w:val="auto"/>
      <w:kern w:val="2"/>
      <w:sz w:val="20"/>
      <w:szCs w:val="20"/>
      <w:lang w:val="en-GB" w:bidi="ar-SA" w:eastAsia="zh-CN"/>
    </w:rPr>
  </w:style>
  <w:style w:type="paragraph" w:styleId="Heading1">
    <w:name w:val="heading 1"/>
    <w:basedOn w:val="Normal"/>
    <w:next w:val="Normal"/>
    <w:qFormat/>
    <w:pPr>
      <w:numPr>
        <w:ilvl w:val="0"/>
        <w:numId w:val="1"/>
      </w:numPr>
      <w:spacing w:lineRule="auto" w:line="240"/>
      <w:outlineLvl w:val="0"/>
    </w:pPr>
    <w:rPr>
      <w:kern w:val="2"/>
      <w:lang w:val="en-GB"/>
    </w:rPr>
  </w:style>
  <w:style w:type="paragraph" w:styleId="Heading2">
    <w:name w:val="heading 2"/>
    <w:basedOn w:val="Normal"/>
    <w:next w:val="Normal"/>
    <w:qFormat/>
    <w:pPr>
      <w:numPr>
        <w:ilvl w:val="1"/>
        <w:numId w:val="1"/>
      </w:numPr>
      <w:spacing w:lineRule="auto" w:line="240"/>
      <w:outlineLvl w:val="1"/>
    </w:pPr>
    <w:rPr>
      <w:kern w:val="2"/>
      <w:lang w:val="en-GB"/>
    </w:rPr>
  </w:style>
  <w:style w:type="paragraph" w:styleId="Heading3">
    <w:name w:val="heading 3"/>
    <w:basedOn w:val="Normal"/>
    <w:next w:val="Normal"/>
    <w:qFormat/>
    <w:pPr>
      <w:numPr>
        <w:ilvl w:val="2"/>
        <w:numId w:val="1"/>
      </w:numPr>
      <w:spacing w:lineRule="auto" w:line="240"/>
      <w:outlineLvl w:val="2"/>
    </w:pPr>
    <w:rPr>
      <w:kern w:val="2"/>
      <w:lang w:val="en-GB"/>
    </w:rPr>
  </w:style>
  <w:style w:type="paragraph" w:styleId="Heading4">
    <w:name w:val="heading 4"/>
    <w:basedOn w:val="Normal"/>
    <w:next w:val="Normal"/>
    <w:qFormat/>
    <w:pPr>
      <w:numPr>
        <w:ilvl w:val="3"/>
        <w:numId w:val="1"/>
      </w:numPr>
      <w:spacing w:lineRule="auto" w:line="240"/>
      <w:outlineLvl w:val="3"/>
    </w:pPr>
    <w:rPr>
      <w:kern w:val="2"/>
      <w:lang w:val="en-GB"/>
    </w:rPr>
  </w:style>
  <w:style w:type="paragraph" w:styleId="Heading5">
    <w:name w:val="heading 5"/>
    <w:basedOn w:val="Normal"/>
    <w:next w:val="Normal"/>
    <w:qFormat/>
    <w:pPr>
      <w:numPr>
        <w:ilvl w:val="4"/>
        <w:numId w:val="1"/>
      </w:numPr>
      <w:spacing w:lineRule="auto" w:line="240"/>
      <w:outlineLvl w:val="4"/>
    </w:pPr>
    <w:rPr>
      <w:kern w:val="2"/>
      <w:lang w:val="en-GB"/>
    </w:rPr>
  </w:style>
  <w:style w:type="paragraph" w:styleId="Heading6">
    <w:name w:val="heading 6"/>
    <w:basedOn w:val="Normal"/>
    <w:next w:val="Normal"/>
    <w:qFormat/>
    <w:pPr>
      <w:numPr>
        <w:ilvl w:val="5"/>
        <w:numId w:val="1"/>
      </w:numPr>
      <w:spacing w:lineRule="auto" w:line="240"/>
      <w:outlineLvl w:val="5"/>
    </w:pPr>
    <w:rPr>
      <w:kern w:val="2"/>
      <w:lang w:val="en-GB"/>
    </w:rPr>
  </w:style>
  <w:style w:type="paragraph" w:styleId="Heading7">
    <w:name w:val="heading 7"/>
    <w:basedOn w:val="Normal"/>
    <w:next w:val="Normal"/>
    <w:qFormat/>
    <w:pPr>
      <w:numPr>
        <w:ilvl w:val="6"/>
        <w:numId w:val="1"/>
      </w:numPr>
      <w:spacing w:lineRule="auto" w:line="240"/>
      <w:outlineLvl w:val="6"/>
    </w:pPr>
    <w:rPr>
      <w:kern w:val="2"/>
      <w:lang w:val="en-GB"/>
    </w:rPr>
  </w:style>
  <w:style w:type="paragraph" w:styleId="Heading8">
    <w:name w:val="heading 8"/>
    <w:basedOn w:val="Normal"/>
    <w:next w:val="Normal"/>
    <w:qFormat/>
    <w:pPr>
      <w:numPr>
        <w:ilvl w:val="7"/>
        <w:numId w:val="1"/>
      </w:numPr>
      <w:spacing w:lineRule="auto" w:line="240"/>
      <w:outlineLvl w:val="7"/>
    </w:pPr>
    <w:rPr>
      <w:kern w:val="2"/>
      <w:lang w:val="en-GB"/>
    </w:rPr>
  </w:style>
  <w:style w:type="paragraph" w:styleId="Heading9">
    <w:name w:val="heading 9"/>
    <w:basedOn w:val="Normal"/>
    <w:next w:val="Normal"/>
    <w:qFormat/>
    <w:pPr>
      <w:numPr>
        <w:ilvl w:val="8"/>
        <w:numId w:val="1"/>
      </w:numPr>
      <w:outlineLvl w:val="8"/>
    </w:pPr>
    <w:rPr>
      <w:kern w:val="2"/>
      <w:lang w:val="en-GB"/>
    </w:rPr>
  </w:style>
  <w:style w:type="character" w:styleId="WW8Num1z0">
    <w:name w:val="WW8Num1z0"/>
    <w:qFormat/>
    <w:rPr>
      <w:b/>
      <w:i w:val="false"/>
    </w:rPr>
  </w:style>
  <w:style w:type="character" w:styleId="WW8Num1z1">
    <w:name w:val="WW8Num1z1"/>
    <w:qFormat/>
    <w:rPr/>
  </w:style>
  <w:style w:type="character" w:styleId="WW8Num1z4">
    <w:name w:val="WW8Num1z4"/>
    <w:qFormat/>
    <w:rPr>
      <w:rFonts w:ascii="Symbol" w:hAnsi="Symbol" w:cs="Symbol"/>
    </w:rPr>
  </w:style>
  <w:style w:type="character" w:styleId="WW8Num1z5">
    <w:name w:val="WW8Num1z5"/>
    <w:qFormat/>
    <w:rPr>
      <w:rFonts w:ascii="Wingdings" w:hAnsi="Wingdings" w:cs="Wingdings"/>
    </w:rPr>
  </w:style>
  <w:style w:type="character" w:styleId="WW8Num3z0">
    <w:name w:val="WW8Num3z0"/>
    <w:qFormat/>
    <w:rPr/>
  </w:style>
  <w:style w:type="character" w:styleId="WW8Num5z0">
    <w:name w:val="WW8Num5z0"/>
    <w:qFormat/>
    <w:rPr/>
  </w:style>
  <w:style w:type="character" w:styleId="WW8Num7z0">
    <w:name w:val="WW8Num7z0"/>
    <w:qFormat/>
    <w:rPr>
      <w:rFonts w:ascii="Arial" w:hAnsi="Arial" w:cs="Arial"/>
      <w:b/>
      <w:i w:val="false"/>
      <w:sz w:val="22"/>
    </w:rPr>
  </w:style>
  <w:style w:type="character" w:styleId="WW8Num7z1">
    <w:name w:val="WW8Num7z1"/>
    <w:qFormat/>
    <w:rPr>
      <w:rFonts w:ascii="Arial" w:hAnsi="Arial" w:cs="Arial"/>
      <w:b/>
      <w:i w:val="false"/>
      <w:sz w:val="21"/>
    </w:rPr>
  </w:style>
  <w:style w:type="character" w:styleId="WW8Num7z2">
    <w:name w:val="WW8Num7z2"/>
    <w:qFormat/>
    <w:rPr>
      <w:rFonts w:ascii="Arial" w:hAnsi="Arial" w:cs="Arial"/>
      <w:b/>
      <w:i w:val="false"/>
      <w:sz w:val="17"/>
    </w:rPr>
  </w:style>
  <w:style w:type="character" w:styleId="WW8Num7z3">
    <w:name w:val="WW8Num7z3"/>
    <w:qFormat/>
    <w:rPr>
      <w:rFonts w:ascii="Arial" w:hAnsi="Arial" w:cs="Arial"/>
      <w:b w:val="false"/>
      <w:i w:val="false"/>
      <w:sz w:val="20"/>
    </w:rPr>
  </w:style>
  <w:style w:type="character" w:styleId="WW8Num8z0">
    <w:name w:val="WW8Num8z0"/>
    <w:qFormat/>
    <w:rPr>
      <w:rFonts w:ascii="Symbol" w:hAnsi="Symbol" w:cs="Symbol"/>
    </w:rPr>
  </w:style>
  <w:style w:type="character" w:styleId="WW8Num9z0">
    <w:name w:val="WW8Num9z0"/>
    <w:qFormat/>
    <w:rPr>
      <w:rFonts w:ascii="Arial" w:hAnsi="Arial" w:cs="Arial"/>
      <w:b/>
      <w:i w:val="false"/>
      <w:sz w:val="21"/>
    </w:rPr>
  </w:style>
  <w:style w:type="character" w:styleId="WW8Num9z1">
    <w:name w:val="WW8Num9z1"/>
    <w:qFormat/>
    <w:rPr>
      <w:rFonts w:ascii="Arial" w:hAnsi="Arial" w:cs="Arial"/>
      <w:b/>
      <w:i w:val="false"/>
      <w:sz w:val="20"/>
    </w:rPr>
  </w:style>
  <w:style w:type="character" w:styleId="WW8Num9z2">
    <w:name w:val="WW8Num9z2"/>
    <w:qFormat/>
    <w:rPr>
      <w:b/>
      <w:i w:val="false"/>
      <w:sz w:val="17"/>
    </w:rPr>
  </w:style>
  <w:style w:type="character" w:styleId="WW8Num10z0">
    <w:name w:val="WW8Num10z0"/>
    <w:qFormat/>
    <w:rPr>
      <w:rFonts w:ascii="Times" w:hAnsi="Times" w:cs="Times"/>
      <w:b/>
      <w:i w:val="false"/>
      <w:sz w:val="22"/>
    </w:rPr>
  </w:style>
  <w:style w:type="character" w:styleId="WW8Num11z0">
    <w:name w:val="WW8Num11z0"/>
    <w:qFormat/>
    <w:rPr>
      <w:rFonts w:ascii="Arial" w:hAnsi="Arial" w:cs="Arial"/>
      <w:b/>
      <w:i w:val="false"/>
      <w:sz w:val="20"/>
    </w:rPr>
  </w:style>
  <w:style w:type="character" w:styleId="WW8Num11z2">
    <w:name w:val="WW8Num11z2"/>
    <w:qFormat/>
    <w:rPr>
      <w:rFonts w:ascii="Arial" w:hAnsi="Arial" w:cs="Arial"/>
      <w:b/>
      <w:i w:val="false"/>
      <w:sz w:val="17"/>
    </w:rPr>
  </w:style>
  <w:style w:type="character" w:styleId="WW8Num11z3">
    <w:name w:val="WW8Num11z3"/>
    <w:qFormat/>
    <w:rPr>
      <w:rFonts w:ascii="Arial" w:hAnsi="Arial" w:cs="Arial"/>
      <w:b w:val="false"/>
      <w:i w:val="false"/>
      <w:sz w:val="20"/>
    </w:rPr>
  </w:style>
  <w:style w:type="character" w:styleId="WW8Num12z0">
    <w:name w:val="WW8Num12z0"/>
    <w:qFormat/>
    <w:rPr>
      <w:rFonts w:ascii="Arial" w:hAnsi="Arial" w:cs="Arial"/>
      <w:b w:val="false"/>
      <w:i w:val="false"/>
      <w:sz w:val="20"/>
    </w:rPr>
  </w:style>
  <w:style w:type="character" w:styleId="WW8Num14z0">
    <w:name w:val="WW8Num14z0"/>
    <w:qFormat/>
    <w:rPr>
      <w:rFonts w:ascii="Symbol" w:hAnsi="Symbol" w:cs="Symbol"/>
    </w:rPr>
  </w:style>
  <w:style w:type="character" w:styleId="WW8Num15z0">
    <w:name w:val="WW8Num15z0"/>
    <w:qFormat/>
    <w:rPr>
      <w:rFonts w:ascii="Symbol" w:hAnsi="Symbol" w:cs="Symbol"/>
    </w:rPr>
  </w:style>
  <w:style w:type="character" w:styleId="WW8Num16z0">
    <w:name w:val="WW8Num16z0"/>
    <w:qFormat/>
    <w:rPr>
      <w:b/>
      <w:i w:val="false"/>
    </w:rPr>
  </w:style>
  <w:style w:type="character" w:styleId="WW8Num17z0">
    <w:name w:val="WW8Num17z0"/>
    <w:qFormat/>
    <w:rPr>
      <w:rFonts w:ascii="Symbol" w:hAnsi="Symbol" w:cs="Symbol"/>
    </w:rPr>
  </w:style>
  <w:style w:type="character" w:styleId="WW8Num18z0">
    <w:name w:val="WW8Num18z0"/>
    <w:qFormat/>
    <w:rPr>
      <w:b/>
      <w:i w:val="false"/>
      <w:sz w:val="20"/>
    </w:rPr>
  </w:style>
  <w:style w:type="character" w:styleId="WW8Num19z0">
    <w:name w:val="WW8Num19z0"/>
    <w:qFormat/>
    <w:rPr>
      <w:rFonts w:ascii="Arial" w:hAnsi="Arial" w:cs="Arial"/>
      <w:b w:val="false"/>
      <w:i w:val="false"/>
      <w:sz w:val="20"/>
    </w:rPr>
  </w:style>
  <w:style w:type="character" w:styleId="WW8Num21z0">
    <w:name w:val="WW8Num21z0"/>
    <w:qFormat/>
    <w:rPr>
      <w:rFonts w:ascii="Arial" w:hAnsi="Arial" w:cs="Arial"/>
      <w:b w:val="false"/>
      <w:i w:val="false"/>
      <w:sz w:val="20"/>
    </w:rPr>
  </w:style>
  <w:style w:type="character" w:styleId="WW8Num22z0">
    <w:name w:val="WW8Num22z0"/>
    <w:qFormat/>
    <w:rPr>
      <w:rFonts w:ascii="Symbol" w:hAnsi="Symbol" w:cs="Symbol"/>
    </w:rPr>
  </w:style>
  <w:style w:type="character" w:styleId="WW8Num23z0">
    <w:name w:val="WW8Num23z0"/>
    <w:qFormat/>
    <w:rPr>
      <w:rFonts w:ascii="Symbol" w:hAnsi="Symbol" w:cs="Symbol"/>
    </w:rPr>
  </w:style>
  <w:style w:type="character" w:styleId="WW8Num24z0">
    <w:name w:val="WW8Num24z0"/>
    <w:qFormat/>
    <w:rPr/>
  </w:style>
  <w:style w:type="character" w:styleId="WW8Num25z0">
    <w:name w:val="WW8Num25z0"/>
    <w:qFormat/>
    <w:rPr>
      <w:rFonts w:ascii="Symbol" w:hAnsi="Symbol" w:cs="Symbol"/>
    </w:rPr>
  </w:style>
  <w:style w:type="character" w:styleId="WW8Num26z0">
    <w:name w:val="WW8Num26z0"/>
    <w:qFormat/>
    <w:rPr>
      <w:rFonts w:ascii="Arial" w:hAnsi="Arial" w:cs="Arial"/>
      <w:b w:val="false"/>
      <w:i w:val="false"/>
      <w:sz w:val="20"/>
    </w:rPr>
  </w:style>
  <w:style w:type="character" w:styleId="WW8Num27z0">
    <w:name w:val="WW8Num27z0"/>
    <w:qFormat/>
    <w:rPr>
      <w:rFonts w:ascii="Symbol" w:hAnsi="Symbol" w:cs="Symbol"/>
    </w:rPr>
  </w:style>
  <w:style w:type="character" w:styleId="WW8Num29z0">
    <w:name w:val="WW8Num29z0"/>
    <w:qFormat/>
    <w:rPr>
      <w:rFonts w:ascii="Arial" w:hAnsi="Arial" w:cs="Arial"/>
      <w:b w:val="false"/>
      <w:i w:val="false"/>
      <w:sz w:val="20"/>
    </w:rPr>
  </w:style>
  <w:style w:type="character" w:styleId="WW8Num30z0">
    <w:name w:val="WW8Num30z0"/>
    <w:qFormat/>
    <w:rPr>
      <w:rFonts w:ascii="Symbol" w:hAnsi="Symbol" w:cs="Symbol"/>
    </w:rPr>
  </w:style>
  <w:style w:type="character" w:styleId="WW8Num32z0">
    <w:name w:val="WW8Num32z0"/>
    <w:qFormat/>
    <w:rPr>
      <w:rFonts w:ascii="Arial" w:hAnsi="Arial" w:cs="Arial"/>
      <w:b/>
      <w:i w:val="false"/>
      <w:sz w:val="22"/>
    </w:rPr>
  </w:style>
  <w:style w:type="character" w:styleId="WW8Num32z1">
    <w:name w:val="WW8Num32z1"/>
    <w:qFormat/>
    <w:rPr>
      <w:rFonts w:ascii="Arial" w:hAnsi="Arial" w:cs="Arial"/>
      <w:b w:val="false"/>
      <w:i w:val="false"/>
      <w:sz w:val="20"/>
    </w:rPr>
  </w:style>
  <w:style w:type="character" w:styleId="WW8Num34z0">
    <w:name w:val="WW8Num34z0"/>
    <w:qFormat/>
    <w:rPr>
      <w:rFonts w:ascii="Symbol" w:hAnsi="Symbol" w:cs="Symbol"/>
    </w:rPr>
  </w:style>
  <w:style w:type="character" w:styleId="WW8Num35z0">
    <w:name w:val="WW8Num35z0"/>
    <w:qFormat/>
    <w:rPr>
      <w:rFonts w:ascii="Arial" w:hAnsi="Arial" w:cs="Arial"/>
      <w:b w:val="false"/>
      <w:i w:val="false"/>
      <w:sz w:val="20"/>
    </w:rPr>
  </w:style>
  <w:style w:type="character" w:styleId="WW8Num36z0">
    <w:name w:val="WW8Num36z0"/>
    <w:qFormat/>
    <w:rPr>
      <w:rFonts w:ascii="Arial" w:hAnsi="Arial" w:cs="Arial"/>
      <w:b w:val="false"/>
      <w:i w:val="false"/>
      <w:sz w:val="20"/>
    </w:rPr>
  </w:style>
  <w:style w:type="character" w:styleId="WW8Num37z0">
    <w:name w:val="WW8Num37z0"/>
    <w:qFormat/>
    <w:rPr>
      <w:rFonts w:ascii="Symbol" w:hAnsi="Symbol" w:cs="Symbol"/>
    </w:rPr>
  </w:style>
  <w:style w:type="character" w:styleId="WW8Num38z0">
    <w:name w:val="WW8Num38z0"/>
    <w:qFormat/>
    <w:rPr>
      <w:rFonts w:ascii="Arial" w:hAnsi="Arial" w:cs="Arial"/>
      <w:b/>
      <w:i w:val="false"/>
      <w:sz w:val="20"/>
    </w:rPr>
  </w:style>
  <w:style w:type="character" w:styleId="WW8Num38z1">
    <w:name w:val="WW8Num38z1"/>
    <w:qFormat/>
    <w:rPr>
      <w:rFonts w:ascii="Arial" w:hAnsi="Arial" w:cs="Arial"/>
      <w:b/>
      <w:i w:val="false"/>
      <w:sz w:val="19"/>
    </w:rPr>
  </w:style>
  <w:style w:type="character" w:styleId="WW8Num38z2">
    <w:name w:val="WW8Num38z2"/>
    <w:qFormat/>
    <w:rPr>
      <w:rFonts w:ascii="Arial" w:hAnsi="Arial" w:cs="Arial"/>
      <w:b w:val="false"/>
      <w:i w:val="false"/>
      <w:sz w:val="17"/>
    </w:rPr>
  </w:style>
  <w:style w:type="character" w:styleId="WW8Num39z0">
    <w:name w:val="WW8Num39z0"/>
    <w:qFormat/>
    <w:rPr>
      <w:rFonts w:ascii="Arial" w:hAnsi="Arial" w:cs="Arial"/>
      <w:b w:val="false"/>
      <w:i w:val="false"/>
      <w:sz w:val="20"/>
    </w:rPr>
  </w:style>
  <w:style w:type="character" w:styleId="WW8Num40z0">
    <w:name w:val="WW8Num40z0"/>
    <w:qFormat/>
    <w:rPr>
      <w:rFonts w:ascii="Symbol" w:hAnsi="Symbol" w:cs="Symbol"/>
    </w:rPr>
  </w:style>
  <w:style w:type="character" w:styleId="WW8Num41z0">
    <w:name w:val="WW8Num41z0"/>
    <w:qFormat/>
    <w:rPr>
      <w:rFonts w:ascii="Arial" w:hAnsi="Arial" w:cs="Arial"/>
      <w:b w:val="false"/>
      <w:i w:val="false"/>
      <w:sz w:val="20"/>
    </w:rPr>
  </w:style>
  <w:style w:type="character" w:styleId="WW8Num43z0">
    <w:name w:val="WW8Num43z0"/>
    <w:qFormat/>
    <w:rPr>
      <w:rFonts w:ascii="Arial" w:hAnsi="Arial" w:cs="Arial"/>
      <w:b w:val="false"/>
      <w:i w:val="false"/>
      <w:sz w:val="20"/>
    </w:rPr>
  </w:style>
  <w:style w:type="character" w:styleId="WW8Num44z0">
    <w:name w:val="WW8Num44z0"/>
    <w:qFormat/>
    <w:rPr>
      <w:rFonts w:ascii="Arial" w:hAnsi="Arial" w:cs="Arial"/>
      <w:b w:val="false"/>
      <w:i w:val="false"/>
      <w:sz w:val="20"/>
    </w:rPr>
  </w:style>
  <w:style w:type="character" w:styleId="WW8Num46z0">
    <w:name w:val="WW8Num46z0"/>
    <w:qFormat/>
    <w:rPr>
      <w:rFonts w:ascii="Arial" w:hAnsi="Arial" w:cs="Arial"/>
      <w:b w:val="false"/>
      <w:i w:val="false"/>
      <w:sz w:val="20"/>
    </w:rPr>
  </w:style>
  <w:style w:type="character" w:styleId="WW8Num47z0">
    <w:name w:val="WW8Num47z0"/>
    <w:qFormat/>
    <w:rPr>
      <w:rFonts w:ascii="Symbol" w:hAnsi="Symbol" w:cs="Symbol"/>
    </w:rPr>
  </w:style>
  <w:style w:type="character" w:styleId="WW8Num49z0">
    <w:name w:val="WW8Num49z0"/>
    <w:qFormat/>
    <w:rPr>
      <w:rFonts w:ascii="Arial" w:hAnsi="Arial" w:cs="Arial"/>
      <w:b/>
      <w:i w:val="false"/>
      <w:sz w:val="22"/>
    </w:rPr>
  </w:style>
  <w:style w:type="character" w:styleId="WW8Num49z1">
    <w:name w:val="WW8Num49z1"/>
    <w:qFormat/>
    <w:rPr>
      <w:rFonts w:ascii="Arial" w:hAnsi="Arial" w:cs="Arial"/>
      <w:b/>
      <w:i w:val="false"/>
      <w:sz w:val="21"/>
    </w:rPr>
  </w:style>
  <w:style w:type="character" w:styleId="WW8Num49z2">
    <w:name w:val="WW8Num49z2"/>
    <w:qFormat/>
    <w:rPr>
      <w:rFonts w:ascii="Arial" w:hAnsi="Arial" w:cs="Arial"/>
      <w:b/>
      <w:i w:val="false"/>
      <w:sz w:val="17"/>
    </w:rPr>
  </w:style>
  <w:style w:type="character" w:styleId="WW8Num49z3">
    <w:name w:val="WW8Num49z3"/>
    <w:qFormat/>
    <w:rPr>
      <w:rFonts w:ascii="Arial" w:hAnsi="Arial" w:cs="Arial"/>
      <w:b w:val="false"/>
      <w:i w:val="false"/>
      <w:sz w:val="20"/>
    </w:rPr>
  </w:style>
  <w:style w:type="character" w:styleId="WW8Num50z0">
    <w:name w:val="WW8Num50z0"/>
    <w:qFormat/>
    <w:rPr>
      <w:rFonts w:ascii="Symbol" w:hAnsi="Symbol" w:cs="Symbol"/>
    </w:rPr>
  </w:style>
  <w:style w:type="character" w:styleId="WW8Num51z0">
    <w:name w:val="WW8Num51z0"/>
    <w:qFormat/>
    <w:rPr>
      <w:rFonts w:ascii="Arial" w:hAnsi="Arial" w:cs="Arial"/>
      <w:b w:val="false"/>
      <w:i w:val="false"/>
      <w:sz w:val="20"/>
    </w:rPr>
  </w:style>
  <w:style w:type="character" w:styleId="WW8Num52z0">
    <w:name w:val="WW8Num52z0"/>
    <w:qFormat/>
    <w:rPr>
      <w:b/>
      <w:i w:val="false"/>
    </w:rPr>
  </w:style>
  <w:style w:type="character" w:styleId="WW8Num53z0">
    <w:name w:val="WW8Num53z0"/>
    <w:qFormat/>
    <w:rPr>
      <w:rFonts w:ascii="Symbol" w:hAnsi="Symbol" w:cs="Symbol"/>
      <w:b w:val="false"/>
      <w:i w:val="false"/>
      <w:sz w:val="20"/>
    </w:rPr>
  </w:style>
  <w:style w:type="character" w:styleId="WW8Num55z0">
    <w:name w:val="WW8Num55z0"/>
    <w:qFormat/>
    <w:rPr>
      <w:rFonts w:ascii="Arial" w:hAnsi="Arial" w:cs="Arial"/>
      <w:b w:val="false"/>
      <w:i w:val="false"/>
      <w:sz w:val="20"/>
    </w:rPr>
  </w:style>
  <w:style w:type="character" w:styleId="WW8Num58z0">
    <w:name w:val="WW8Num58z0"/>
    <w:qFormat/>
    <w:rPr>
      <w:rFonts w:ascii="Arial" w:hAnsi="Arial" w:cs="Arial"/>
      <w:b/>
      <w:i w:val="false"/>
      <w:sz w:val="20"/>
    </w:rPr>
  </w:style>
  <w:style w:type="character" w:styleId="WW8Num59z0">
    <w:name w:val="WW8Num59z0"/>
    <w:qFormat/>
    <w:rPr>
      <w:rFonts w:ascii="Arial" w:hAnsi="Arial" w:cs="Arial"/>
      <w:b w:val="false"/>
      <w:i w:val="false"/>
      <w:sz w:val="20"/>
    </w:rPr>
  </w:style>
  <w:style w:type="character" w:styleId="WW8Num60z0">
    <w:name w:val="WW8Num60z0"/>
    <w:qFormat/>
    <w:rPr>
      <w:rFonts w:ascii="Arial" w:hAnsi="Arial" w:cs="Arial"/>
      <w:b/>
      <w:i w:val="false"/>
      <w:sz w:val="21"/>
    </w:rPr>
  </w:style>
  <w:style w:type="character" w:styleId="WW8Num60z1">
    <w:name w:val="WW8Num60z1"/>
    <w:qFormat/>
    <w:rPr>
      <w:rFonts w:ascii="Arial" w:hAnsi="Arial" w:cs="Arial"/>
      <w:b/>
      <w:i w:val="false"/>
      <w:sz w:val="20"/>
    </w:rPr>
  </w:style>
  <w:style w:type="character" w:styleId="WW8Num60z2">
    <w:name w:val="WW8Num60z2"/>
    <w:qFormat/>
    <w:rPr>
      <w:rFonts w:ascii="Arial" w:hAnsi="Arial" w:cs="Arial"/>
      <w:b/>
      <w:i w:val="false"/>
      <w:sz w:val="17"/>
    </w:rPr>
  </w:style>
  <w:style w:type="character" w:styleId="WW8Num60z3">
    <w:name w:val="WW8Num60z3"/>
    <w:qFormat/>
    <w:rPr>
      <w:rFonts w:ascii="Arial" w:hAnsi="Arial" w:cs="Arial"/>
      <w:b w:val="false"/>
      <w:i w:val="false"/>
      <w:sz w:val="20"/>
    </w:rPr>
  </w:style>
  <w:style w:type="character" w:styleId="WW8Num61z0">
    <w:name w:val="WW8Num61z0"/>
    <w:qFormat/>
    <w:rPr>
      <w:rFonts w:ascii="Arial" w:hAnsi="Arial" w:cs="Arial"/>
      <w:b w:val="false"/>
      <w:i w:val="false"/>
      <w:sz w:val="20"/>
    </w:rPr>
  </w:style>
  <w:style w:type="character" w:styleId="WW8Num62z0">
    <w:name w:val="WW8Num62z0"/>
    <w:qFormat/>
    <w:rPr>
      <w:rFonts w:ascii="Symbol" w:hAnsi="Symbol" w:cs="Symbol"/>
    </w:rPr>
  </w:style>
  <w:style w:type="character" w:styleId="WW8Num63z0">
    <w:name w:val="WW8Num63z0"/>
    <w:qFormat/>
    <w:rPr>
      <w:rFonts w:ascii="Arial" w:hAnsi="Arial" w:cs="Arial"/>
      <w:b w:val="false"/>
      <w:i w:val="false"/>
      <w:sz w:val="20"/>
    </w:rPr>
  </w:style>
  <w:style w:type="character" w:styleId="WW8Num64z0">
    <w:name w:val="WW8Num64z0"/>
    <w:qFormat/>
    <w:rPr>
      <w:rFonts w:ascii="Arial" w:hAnsi="Arial" w:cs="Arial"/>
      <w:b w:val="false"/>
      <w:i w:val="false"/>
      <w:sz w:val="20"/>
    </w:rPr>
  </w:style>
  <w:style w:type="character" w:styleId="WW8Num65z0">
    <w:name w:val="WW8Num65z0"/>
    <w:qFormat/>
    <w:rPr>
      <w:rFonts w:ascii="Symbol" w:hAnsi="Symbol" w:cs="Symbol"/>
    </w:rPr>
  </w:style>
  <w:style w:type="character" w:styleId="DefaultParagraphFont">
    <w:name w:val="Default Paragraph Font"/>
    <w:qFormat/>
    <w:rPr/>
  </w:style>
  <w:style w:type="character" w:styleId="EndnoteCharacters">
    <w:name w:val="Endnote Characters"/>
    <w:basedOn w:val="DefaultParagraphFont"/>
    <w:qFormat/>
    <w:rPr>
      <w:rFonts w:ascii="Arial" w:hAnsi="Arial" w:cs="Arial"/>
      <w:vertAlign w:val="superscript"/>
    </w:rPr>
  </w:style>
  <w:style w:type="character" w:styleId="FootnoteCharacters">
    <w:name w:val="Footnote Characters"/>
    <w:basedOn w:val="DefaultParagraphFont"/>
    <w:qFormat/>
    <w:rPr>
      <w:rFonts w:ascii="Arial" w:hAnsi="Arial" w:cs="Arial"/>
      <w:vertAlign w:val="superscript"/>
    </w:rPr>
  </w:style>
  <w:style w:type="character" w:styleId="PageNumber">
    <w:name w:val="page number"/>
    <w:basedOn w:val="DefaultParagraphFont"/>
    <w:rPr/>
  </w:style>
  <w:style w:type="character" w:styleId="Hyperlink">
    <w:name w:val="Hyperlink"/>
    <w:basedOn w:val="DefaultParagraphFont"/>
    <w:rPr>
      <w:color w:val="0000FF"/>
      <w:u w:val="single"/>
    </w:rPr>
  </w:style>
  <w:style w:type="paragraph" w:styleId="Heading">
    <w:name w:val="Heading"/>
    <w:basedOn w:val="Normal"/>
    <w:next w:val="Body"/>
    <w:qFormat/>
    <w:pPr>
      <w:keepNext w:val="true"/>
      <w:keepLines/>
      <w:spacing w:before="0" w:after="240"/>
      <w:jc w:val="both"/>
      <w:outlineLvl w:val="3"/>
    </w:pPr>
    <w:rPr>
      <w:b/>
      <w:kern w:val="2"/>
      <w:sz w:val="25"/>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alpha1">
    <w:name w:val="alpha 1"/>
    <w:basedOn w:val="Normal"/>
    <w:qFormat/>
    <w:pPr>
      <w:numPr>
        <w:ilvl w:val="0"/>
        <w:numId w:val="16"/>
      </w:numPr>
      <w:tabs>
        <w:tab w:val="clear" w:pos="720"/>
        <w:tab w:val="left" w:pos="567" w:leader="none"/>
      </w:tabs>
      <w:spacing w:before="0" w:after="140"/>
      <w:jc w:val="both"/>
    </w:pPr>
    <w:rPr/>
  </w:style>
  <w:style w:type="paragraph" w:styleId="alpha2">
    <w:name w:val="alpha 2"/>
    <w:basedOn w:val="Normal"/>
    <w:qFormat/>
    <w:pPr>
      <w:numPr>
        <w:ilvl w:val="0"/>
        <w:numId w:val="28"/>
      </w:numPr>
      <w:tabs>
        <w:tab w:val="clear" w:pos="720"/>
        <w:tab w:val="left" w:pos="1247" w:leader="none"/>
      </w:tabs>
      <w:spacing w:before="0" w:after="140"/>
      <w:jc w:val="both"/>
    </w:pPr>
    <w:rPr/>
  </w:style>
  <w:style w:type="paragraph" w:styleId="alpha3">
    <w:name w:val="alpha 3"/>
    <w:basedOn w:val="Normal"/>
    <w:qFormat/>
    <w:pPr>
      <w:numPr>
        <w:ilvl w:val="0"/>
        <w:numId w:val="10"/>
      </w:numPr>
      <w:tabs>
        <w:tab w:val="clear" w:pos="720"/>
        <w:tab w:val="left" w:pos="2041" w:leader="none"/>
      </w:tabs>
      <w:spacing w:before="0" w:after="140"/>
      <w:jc w:val="both"/>
    </w:pPr>
    <w:rPr/>
  </w:style>
  <w:style w:type="paragraph" w:styleId="alpha4">
    <w:name w:val="alpha 4"/>
    <w:basedOn w:val="Normal"/>
    <w:qFormat/>
    <w:pPr>
      <w:numPr>
        <w:ilvl w:val="0"/>
        <w:numId w:val="5"/>
      </w:numPr>
      <w:tabs>
        <w:tab w:val="clear" w:pos="720"/>
        <w:tab w:val="left" w:pos="2722" w:leader="none"/>
      </w:tabs>
      <w:spacing w:before="0" w:after="140"/>
      <w:ind w:hanging="680" w:start="2721" w:end="0"/>
      <w:jc w:val="both"/>
    </w:pPr>
    <w:rPr/>
  </w:style>
  <w:style w:type="paragraph" w:styleId="alpha5">
    <w:name w:val="alpha 5"/>
    <w:basedOn w:val="Normal"/>
    <w:qFormat/>
    <w:pPr>
      <w:numPr>
        <w:ilvl w:val="0"/>
        <w:numId w:val="15"/>
      </w:numPr>
      <w:tabs>
        <w:tab w:val="clear" w:pos="720"/>
        <w:tab w:val="left" w:pos="3289" w:leader="none"/>
      </w:tabs>
      <w:spacing w:before="0" w:after="140"/>
      <w:jc w:val="both"/>
    </w:pPr>
    <w:rPr/>
  </w:style>
  <w:style w:type="paragraph" w:styleId="alpha6">
    <w:name w:val="alpha 6"/>
    <w:basedOn w:val="Normal"/>
    <w:qFormat/>
    <w:pPr>
      <w:numPr>
        <w:ilvl w:val="0"/>
        <w:numId w:val="12"/>
      </w:numPr>
      <w:tabs>
        <w:tab w:val="clear" w:pos="720"/>
        <w:tab w:val="left" w:pos="3969" w:leader="none"/>
      </w:tabs>
      <w:spacing w:before="0" w:after="140"/>
      <w:jc w:val="both"/>
    </w:pPr>
    <w:rPr/>
  </w:style>
  <w:style w:type="paragraph" w:styleId="Body">
    <w:name w:val="Body"/>
    <w:basedOn w:val="Normal"/>
    <w:qFormat/>
    <w:pPr>
      <w:spacing w:before="0" w:after="140"/>
      <w:jc w:val="both"/>
    </w:pPr>
    <w:rPr/>
  </w:style>
  <w:style w:type="paragraph" w:styleId="Body1">
    <w:name w:val="Body 1"/>
    <w:basedOn w:val="Body"/>
    <w:qFormat/>
    <w:pPr>
      <w:tabs>
        <w:tab w:val="clear" w:pos="720"/>
        <w:tab w:val="left" w:pos="567" w:leader="none"/>
      </w:tabs>
      <w:ind w:hanging="0" w:start="567" w:end="0"/>
    </w:pPr>
    <w:rPr/>
  </w:style>
  <w:style w:type="paragraph" w:styleId="Body2">
    <w:name w:val="Body 2"/>
    <w:basedOn w:val="Body"/>
    <w:qFormat/>
    <w:pPr>
      <w:tabs>
        <w:tab w:val="clear" w:pos="720"/>
        <w:tab w:val="left" w:pos="1247" w:leader="none"/>
      </w:tabs>
      <w:ind w:hanging="0" w:start="1247" w:end="0"/>
    </w:pPr>
    <w:rPr/>
  </w:style>
  <w:style w:type="paragraph" w:styleId="Body3">
    <w:name w:val="Body 3"/>
    <w:basedOn w:val="Body"/>
    <w:qFormat/>
    <w:pPr>
      <w:tabs>
        <w:tab w:val="clear" w:pos="720"/>
        <w:tab w:val="left" w:pos="2041" w:leader="none"/>
      </w:tabs>
      <w:ind w:hanging="0" w:start="2041" w:end="0"/>
    </w:pPr>
    <w:rPr/>
  </w:style>
  <w:style w:type="paragraph" w:styleId="Body4">
    <w:name w:val="Body 4"/>
    <w:basedOn w:val="Body"/>
    <w:qFormat/>
    <w:pPr>
      <w:tabs>
        <w:tab w:val="clear" w:pos="720"/>
        <w:tab w:val="left" w:pos="2722" w:leader="none"/>
      </w:tabs>
      <w:ind w:hanging="0" w:start="2722" w:end="0"/>
    </w:pPr>
    <w:rPr/>
  </w:style>
  <w:style w:type="paragraph" w:styleId="Body5">
    <w:name w:val="Body 5"/>
    <w:basedOn w:val="Body"/>
    <w:qFormat/>
    <w:pPr>
      <w:tabs>
        <w:tab w:val="clear" w:pos="720"/>
        <w:tab w:val="left" w:pos="3289" w:leader="none"/>
      </w:tabs>
      <w:ind w:hanging="0" w:start="3289" w:end="0"/>
    </w:pPr>
    <w:rPr/>
  </w:style>
  <w:style w:type="paragraph" w:styleId="Body6">
    <w:name w:val="Body 6"/>
    <w:basedOn w:val="Body"/>
    <w:qFormat/>
    <w:pPr>
      <w:tabs>
        <w:tab w:val="clear" w:pos="720"/>
        <w:tab w:val="left" w:pos="3969" w:leader="none"/>
      </w:tabs>
      <w:ind w:hanging="0" w:start="3969" w:end="0"/>
    </w:pPr>
    <w:rPr/>
  </w:style>
  <w:style w:type="paragraph" w:styleId="Bullet1">
    <w:name w:val="Bullet 1"/>
    <w:basedOn w:val="Normal"/>
    <w:qFormat/>
    <w:pPr>
      <w:numPr>
        <w:ilvl w:val="0"/>
        <w:numId w:val="7"/>
      </w:numPr>
      <w:tabs>
        <w:tab w:val="clear" w:pos="720"/>
        <w:tab w:val="left" w:pos="567" w:leader="none"/>
      </w:tabs>
      <w:spacing w:before="0" w:after="140"/>
      <w:jc w:val="both"/>
    </w:pPr>
    <w:rPr/>
  </w:style>
  <w:style w:type="paragraph" w:styleId="Bullet2">
    <w:name w:val="Bullet 2"/>
    <w:basedOn w:val="Normal"/>
    <w:qFormat/>
    <w:pPr>
      <w:numPr>
        <w:ilvl w:val="0"/>
        <w:numId w:val="22"/>
      </w:numPr>
      <w:tabs>
        <w:tab w:val="clear" w:pos="720"/>
        <w:tab w:val="left" w:pos="1247" w:leader="none"/>
      </w:tabs>
      <w:spacing w:before="0" w:after="140"/>
      <w:jc w:val="both"/>
    </w:pPr>
    <w:rPr/>
  </w:style>
  <w:style w:type="paragraph" w:styleId="Bullet3">
    <w:name w:val="Bullet 3"/>
    <w:basedOn w:val="Normal"/>
    <w:qFormat/>
    <w:pPr>
      <w:numPr>
        <w:ilvl w:val="0"/>
        <w:numId w:val="11"/>
      </w:numPr>
      <w:tabs>
        <w:tab w:val="clear" w:pos="720"/>
        <w:tab w:val="left" w:pos="2041" w:leader="none"/>
      </w:tabs>
      <w:spacing w:before="0" w:after="140"/>
      <w:jc w:val="both"/>
    </w:pPr>
    <w:rPr/>
  </w:style>
  <w:style w:type="paragraph" w:styleId="Bullet4">
    <w:name w:val="Bullet 4"/>
    <w:basedOn w:val="Normal"/>
    <w:qFormat/>
    <w:pPr>
      <w:numPr>
        <w:ilvl w:val="0"/>
        <w:numId w:val="9"/>
      </w:numPr>
      <w:tabs>
        <w:tab w:val="clear" w:pos="720"/>
        <w:tab w:val="left" w:pos="2722" w:leader="none"/>
      </w:tabs>
      <w:spacing w:before="0" w:after="140"/>
      <w:ind w:hanging="680" w:start="2721" w:end="0"/>
      <w:jc w:val="both"/>
    </w:pPr>
    <w:rPr/>
  </w:style>
  <w:style w:type="paragraph" w:styleId="Bullet5">
    <w:name w:val="Bullet 5"/>
    <w:basedOn w:val="Normal"/>
    <w:qFormat/>
    <w:pPr>
      <w:numPr>
        <w:ilvl w:val="0"/>
        <w:numId w:val="14"/>
      </w:numPr>
      <w:tabs>
        <w:tab w:val="clear" w:pos="720"/>
        <w:tab w:val="left" w:pos="3289" w:leader="none"/>
      </w:tabs>
      <w:spacing w:before="0" w:after="140"/>
      <w:jc w:val="both"/>
    </w:pPr>
    <w:rPr/>
  </w:style>
  <w:style w:type="paragraph" w:styleId="Bullet6">
    <w:name w:val="Bullet 6"/>
    <w:basedOn w:val="Normal"/>
    <w:qFormat/>
    <w:pPr>
      <w:numPr>
        <w:ilvl w:val="0"/>
        <w:numId w:val="6"/>
      </w:numPr>
      <w:tabs>
        <w:tab w:val="clear" w:pos="720"/>
        <w:tab w:val="left" w:pos="3969" w:leader="none"/>
      </w:tabs>
      <w:spacing w:before="0" w:after="140"/>
      <w:jc w:val="both"/>
    </w:pPr>
    <w:rPr/>
  </w:style>
  <w:style w:type="paragraph" w:styleId="CellBody">
    <w:name w:val="CellBody"/>
    <w:basedOn w:val="Normal"/>
    <w:qFormat/>
    <w:pPr>
      <w:spacing w:before="60" w:after="60"/>
    </w:pPr>
    <w:rPr/>
  </w:style>
  <w:style w:type="paragraph" w:styleId="CellHead">
    <w:name w:val="CellHead"/>
    <w:basedOn w:val="Normal"/>
    <w:qFormat/>
    <w:pPr>
      <w:keepNext w:val="true"/>
      <w:spacing w:lineRule="auto" w:line="257" w:before="60" w:after="60"/>
    </w:pPr>
    <w:rPr>
      <w:b/>
    </w:rPr>
  </w:style>
  <w:style w:type="paragraph" w:styleId="Head">
    <w:name w:val="Head"/>
    <w:basedOn w:val="Normal"/>
    <w:next w:val="Body"/>
    <w:qFormat/>
    <w:pPr>
      <w:keepNext w:val="true"/>
      <w:keepLines/>
      <w:spacing w:before="140" w:after="140"/>
      <w:jc w:val="both"/>
      <w:outlineLvl w:val="3"/>
    </w:pPr>
    <w:rPr>
      <w:b/>
      <w:sz w:val="23"/>
    </w:rPr>
  </w:style>
  <w:style w:type="paragraph" w:styleId="Head1">
    <w:name w:val="Head 1"/>
    <w:basedOn w:val="Normal"/>
    <w:next w:val="Body1"/>
    <w:qFormat/>
    <w:pPr>
      <w:keepNext w:val="true"/>
      <w:keepLines/>
      <w:spacing w:before="140" w:after="60"/>
      <w:ind w:hanging="0" w:start="567" w:end="0"/>
      <w:jc w:val="both"/>
      <w:outlineLvl w:val="3"/>
    </w:pPr>
    <w:rPr>
      <w:b/>
      <w:sz w:val="22"/>
    </w:rPr>
  </w:style>
  <w:style w:type="paragraph" w:styleId="Head2">
    <w:name w:val="Head 2"/>
    <w:basedOn w:val="Normal"/>
    <w:next w:val="Body2"/>
    <w:qFormat/>
    <w:pPr>
      <w:keepNext w:val="true"/>
      <w:keepLines/>
      <w:spacing w:before="140" w:after="60"/>
      <w:ind w:hanging="0" w:start="1247" w:end="0"/>
      <w:jc w:val="both"/>
      <w:outlineLvl w:val="3"/>
    </w:pPr>
    <w:rPr>
      <w:b/>
      <w:sz w:val="21"/>
    </w:rPr>
  </w:style>
  <w:style w:type="paragraph" w:styleId="Head3">
    <w:name w:val="Head 3"/>
    <w:basedOn w:val="Normal"/>
    <w:next w:val="Body3"/>
    <w:qFormat/>
    <w:pPr>
      <w:keepNext w:val="true"/>
      <w:keepLines/>
      <w:spacing w:before="140" w:after="40"/>
      <w:ind w:hanging="0" w:start="2041" w:end="0"/>
      <w:jc w:val="both"/>
      <w:outlineLvl w:val="3"/>
    </w:pPr>
    <w:rPr>
      <w:b/>
    </w:rPr>
  </w:style>
  <w:style w:type="paragraph" w:styleId="Level1">
    <w:name w:val="Level 1"/>
    <w:basedOn w:val="Normal"/>
    <w:qFormat/>
    <w:pPr>
      <w:numPr>
        <w:ilvl w:val="0"/>
        <w:numId w:val="21"/>
      </w:numPr>
      <w:spacing w:before="0" w:after="140"/>
      <w:jc w:val="both"/>
      <w:outlineLvl w:val="0"/>
    </w:pPr>
    <w:rPr/>
  </w:style>
  <w:style w:type="paragraph" w:styleId="Level2">
    <w:name w:val="Level 2"/>
    <w:basedOn w:val="Normal"/>
    <w:qFormat/>
    <w:pPr>
      <w:numPr>
        <w:ilvl w:val="0"/>
        <w:numId w:val="21"/>
      </w:numPr>
      <w:spacing w:before="0" w:after="140"/>
      <w:jc w:val="both"/>
      <w:outlineLvl w:val="1"/>
    </w:pPr>
    <w:rPr/>
  </w:style>
  <w:style w:type="paragraph" w:styleId="Level3">
    <w:name w:val="Level 3"/>
    <w:basedOn w:val="Normal"/>
    <w:qFormat/>
    <w:pPr>
      <w:numPr>
        <w:ilvl w:val="0"/>
        <w:numId w:val="21"/>
      </w:numPr>
      <w:spacing w:before="0" w:after="140"/>
      <w:jc w:val="both"/>
      <w:outlineLvl w:val="2"/>
    </w:pPr>
    <w:rPr/>
  </w:style>
  <w:style w:type="paragraph" w:styleId="Level4">
    <w:name w:val="Level 4"/>
    <w:basedOn w:val="Normal"/>
    <w:qFormat/>
    <w:pPr>
      <w:numPr>
        <w:ilvl w:val="0"/>
        <w:numId w:val="21"/>
      </w:numPr>
      <w:spacing w:before="0" w:after="140"/>
      <w:jc w:val="both"/>
      <w:outlineLvl w:val="3"/>
    </w:pPr>
    <w:rPr/>
  </w:style>
  <w:style w:type="paragraph" w:styleId="Level5">
    <w:name w:val="Level 5"/>
    <w:basedOn w:val="Normal"/>
    <w:qFormat/>
    <w:pPr>
      <w:numPr>
        <w:ilvl w:val="0"/>
        <w:numId w:val="21"/>
      </w:numPr>
      <w:spacing w:before="0" w:after="140"/>
      <w:jc w:val="both"/>
      <w:outlineLvl w:val="4"/>
    </w:pPr>
    <w:rPr/>
  </w:style>
  <w:style w:type="paragraph" w:styleId="Level6">
    <w:name w:val="Level 6"/>
    <w:basedOn w:val="Normal"/>
    <w:qFormat/>
    <w:pPr>
      <w:numPr>
        <w:ilvl w:val="0"/>
        <w:numId w:val="21"/>
      </w:numPr>
      <w:spacing w:before="0" w:after="140"/>
      <w:jc w:val="both"/>
      <w:outlineLvl w:val="5"/>
    </w:pPr>
    <w:rPr/>
  </w:style>
  <w:style w:type="paragraph" w:styleId="Parties">
    <w:name w:val="Parties"/>
    <w:basedOn w:val="Normal"/>
    <w:qFormat/>
    <w:pPr>
      <w:numPr>
        <w:ilvl w:val="0"/>
        <w:numId w:val="26"/>
      </w:numPr>
      <w:spacing w:before="0" w:after="140"/>
      <w:jc w:val="both"/>
    </w:pPr>
    <w:rPr/>
  </w:style>
  <w:style w:type="paragraph" w:styleId="Recitals">
    <w:name w:val="Recitals"/>
    <w:basedOn w:val="Body"/>
    <w:qFormat/>
    <w:pPr>
      <w:keepNext w:val="true"/>
      <w:numPr>
        <w:ilvl w:val="0"/>
        <w:numId w:val="3"/>
      </w:numPr>
      <w:spacing w:lineRule="auto" w:line="360" w:before="0" w:after="0"/>
    </w:pPr>
    <w:rPr>
      <w:rFonts w:ascii="Times" w:hAnsi="Times" w:cs="Times"/>
      <w:b/>
      <w:sz w:val="22"/>
    </w:rPr>
  </w:style>
  <w:style w:type="paragraph" w:styleId="roman1">
    <w:name w:val="roman 1"/>
    <w:basedOn w:val="Normal"/>
    <w:qFormat/>
    <w:pPr>
      <w:numPr>
        <w:ilvl w:val="0"/>
        <w:numId w:val="20"/>
      </w:numPr>
      <w:tabs>
        <w:tab w:val="clear" w:pos="720"/>
        <w:tab w:val="left" w:pos="567" w:leader="none"/>
      </w:tabs>
      <w:spacing w:before="0" w:after="140"/>
      <w:jc w:val="both"/>
    </w:pPr>
    <w:rPr/>
  </w:style>
  <w:style w:type="paragraph" w:styleId="roman2">
    <w:name w:val="roman 2"/>
    <w:basedOn w:val="Normal"/>
    <w:qFormat/>
    <w:pPr>
      <w:numPr>
        <w:ilvl w:val="0"/>
        <w:numId w:val="30"/>
      </w:numPr>
      <w:tabs>
        <w:tab w:val="clear" w:pos="720"/>
        <w:tab w:val="left" w:pos="1247" w:leader="none"/>
      </w:tabs>
      <w:spacing w:before="0" w:after="140"/>
      <w:jc w:val="both"/>
    </w:pPr>
    <w:rPr/>
  </w:style>
  <w:style w:type="paragraph" w:styleId="roman3">
    <w:name w:val="roman 3"/>
    <w:basedOn w:val="Normal"/>
    <w:qFormat/>
    <w:pPr>
      <w:numPr>
        <w:ilvl w:val="0"/>
        <w:numId w:val="23"/>
      </w:numPr>
      <w:tabs>
        <w:tab w:val="clear" w:pos="720"/>
        <w:tab w:val="left" w:pos="2041" w:leader="none"/>
      </w:tabs>
      <w:spacing w:before="0" w:after="140"/>
      <w:jc w:val="both"/>
    </w:pPr>
    <w:rPr/>
  </w:style>
  <w:style w:type="paragraph" w:styleId="roman4">
    <w:name w:val="roman 4"/>
    <w:basedOn w:val="Normal"/>
    <w:qFormat/>
    <w:pPr>
      <w:numPr>
        <w:ilvl w:val="0"/>
        <w:numId w:val="19"/>
      </w:numPr>
      <w:tabs>
        <w:tab w:val="clear" w:pos="720"/>
        <w:tab w:val="left" w:pos="2722" w:leader="none"/>
      </w:tabs>
      <w:spacing w:before="0" w:after="140"/>
      <w:ind w:hanging="680" w:start="2721" w:end="0"/>
      <w:jc w:val="both"/>
    </w:pPr>
    <w:rPr/>
  </w:style>
  <w:style w:type="paragraph" w:styleId="roman5">
    <w:name w:val="roman 5"/>
    <w:basedOn w:val="Normal"/>
    <w:qFormat/>
    <w:pPr>
      <w:numPr>
        <w:ilvl w:val="0"/>
        <w:numId w:val="29"/>
      </w:numPr>
      <w:tabs>
        <w:tab w:val="clear" w:pos="720"/>
        <w:tab w:val="left" w:pos="3289" w:leader="none"/>
      </w:tabs>
      <w:spacing w:before="0" w:after="140"/>
      <w:jc w:val="both"/>
    </w:pPr>
    <w:rPr/>
  </w:style>
  <w:style w:type="paragraph" w:styleId="roman6">
    <w:name w:val="roman 6"/>
    <w:basedOn w:val="Normal"/>
    <w:qFormat/>
    <w:pPr>
      <w:numPr>
        <w:ilvl w:val="0"/>
        <w:numId w:val="27"/>
      </w:numPr>
      <w:tabs>
        <w:tab w:val="clear" w:pos="720"/>
        <w:tab w:val="left" w:pos="3969" w:leader="none"/>
      </w:tabs>
      <w:spacing w:before="0" w:after="140"/>
      <w:jc w:val="both"/>
    </w:pPr>
    <w:rPr/>
  </w:style>
  <w:style w:type="paragraph" w:styleId="SchedApps">
    <w:name w:val="Sched/Apps"/>
    <w:basedOn w:val="Normal"/>
    <w:next w:val="Body"/>
    <w:qFormat/>
    <w:pPr>
      <w:keepNext w:val="true"/>
      <w:keepLines/>
      <w:pageBreakBefore/>
      <w:spacing w:before="0" w:after="240"/>
      <w:jc w:val="center"/>
      <w:outlineLvl w:val="3"/>
    </w:pPr>
    <w:rPr>
      <w:b/>
      <w:sz w:val="23"/>
    </w:rPr>
  </w:style>
  <w:style w:type="paragraph" w:styleId="Schedule1">
    <w:name w:val="Schedule 1"/>
    <w:basedOn w:val="Normal"/>
    <w:next w:val="Body1"/>
    <w:qFormat/>
    <w:pPr>
      <w:numPr>
        <w:ilvl w:val="0"/>
        <w:numId w:val="2"/>
      </w:numPr>
      <w:spacing w:before="0" w:after="140"/>
      <w:jc w:val="both"/>
      <w:outlineLvl w:val="0"/>
    </w:pPr>
    <w:rPr/>
  </w:style>
  <w:style w:type="paragraph" w:styleId="Schedule2">
    <w:name w:val="Schedule 2"/>
    <w:basedOn w:val="Normal"/>
    <w:next w:val="Body2"/>
    <w:qFormat/>
    <w:pPr>
      <w:numPr>
        <w:ilvl w:val="0"/>
        <w:numId w:val="2"/>
      </w:numPr>
      <w:spacing w:before="0" w:after="140"/>
      <w:jc w:val="both"/>
      <w:outlineLvl w:val="1"/>
    </w:pPr>
    <w:rPr/>
  </w:style>
  <w:style w:type="paragraph" w:styleId="Schedule3">
    <w:name w:val="Schedule 3"/>
    <w:basedOn w:val="Normal"/>
    <w:next w:val="Body3"/>
    <w:qFormat/>
    <w:pPr>
      <w:numPr>
        <w:ilvl w:val="0"/>
        <w:numId w:val="2"/>
      </w:numPr>
      <w:spacing w:before="0" w:after="140"/>
      <w:jc w:val="both"/>
      <w:outlineLvl w:val="2"/>
    </w:pPr>
    <w:rPr/>
  </w:style>
  <w:style w:type="paragraph" w:styleId="Schedule4">
    <w:name w:val="Schedule 4"/>
    <w:basedOn w:val="Normal"/>
    <w:next w:val="Body4"/>
    <w:qFormat/>
    <w:pPr>
      <w:numPr>
        <w:ilvl w:val="0"/>
        <w:numId w:val="2"/>
      </w:numPr>
      <w:spacing w:before="0" w:after="140"/>
      <w:jc w:val="both"/>
      <w:outlineLvl w:val="3"/>
    </w:pPr>
    <w:rPr/>
  </w:style>
  <w:style w:type="paragraph" w:styleId="Schedule5">
    <w:name w:val="Schedule 5"/>
    <w:basedOn w:val="Normal"/>
    <w:next w:val="Body5"/>
    <w:qFormat/>
    <w:pPr>
      <w:numPr>
        <w:ilvl w:val="0"/>
        <w:numId w:val="2"/>
      </w:numPr>
      <w:spacing w:before="0" w:after="140"/>
      <w:jc w:val="both"/>
      <w:outlineLvl w:val="4"/>
    </w:pPr>
    <w:rPr/>
  </w:style>
  <w:style w:type="paragraph" w:styleId="Schedule6">
    <w:name w:val="Schedule 6"/>
    <w:basedOn w:val="Normal"/>
    <w:next w:val="Body6"/>
    <w:qFormat/>
    <w:pPr>
      <w:numPr>
        <w:ilvl w:val="0"/>
        <w:numId w:val="2"/>
      </w:numPr>
      <w:spacing w:before="0" w:after="140"/>
      <w:jc w:val="both"/>
      <w:outlineLvl w:val="5"/>
    </w:pPr>
    <w:rPr/>
  </w:style>
  <w:style w:type="paragraph" w:styleId="SubHead">
    <w:name w:val="SubHead"/>
    <w:basedOn w:val="Normal"/>
    <w:next w:val="Body"/>
    <w:qFormat/>
    <w:pPr>
      <w:keepNext w:val="true"/>
      <w:keepLines/>
      <w:spacing w:before="60" w:after="60"/>
      <w:jc w:val="both"/>
      <w:outlineLvl w:val="3"/>
    </w:pPr>
    <w:rPr>
      <w:b/>
      <w:sz w:val="21"/>
    </w:rPr>
  </w:style>
  <w:style w:type="paragraph" w:styleId="TCLevel1">
    <w:name w:val="T+C Level 1"/>
    <w:basedOn w:val="Body"/>
    <w:next w:val="TCLevel2"/>
    <w:qFormat/>
    <w:pPr>
      <w:keepNext w:val="true"/>
      <w:numPr>
        <w:ilvl w:val="0"/>
        <w:numId w:val="13"/>
      </w:numPr>
      <w:tabs>
        <w:tab w:val="clear" w:pos="720"/>
        <w:tab w:val="left" w:pos="567" w:leader="none"/>
      </w:tabs>
      <w:spacing w:before="140" w:after="0"/>
      <w:outlineLvl w:val="0"/>
    </w:pPr>
    <w:rPr>
      <w:b/>
    </w:rPr>
  </w:style>
  <w:style w:type="paragraph" w:styleId="TCLevel2">
    <w:name w:val="T+C Level 2"/>
    <w:basedOn w:val="Body"/>
    <w:qFormat/>
    <w:pPr>
      <w:numPr>
        <w:ilvl w:val="0"/>
        <w:numId w:val="13"/>
      </w:numPr>
      <w:tabs>
        <w:tab w:val="clear" w:pos="720"/>
        <w:tab w:val="left" w:pos="1247" w:leader="none"/>
      </w:tabs>
      <w:outlineLvl w:val="1"/>
    </w:pPr>
    <w:rPr/>
  </w:style>
  <w:style w:type="paragraph" w:styleId="TCLevel3">
    <w:name w:val="T+C Level 3"/>
    <w:basedOn w:val="Body"/>
    <w:qFormat/>
    <w:pPr>
      <w:numPr>
        <w:ilvl w:val="0"/>
        <w:numId w:val="13"/>
      </w:numPr>
      <w:tabs>
        <w:tab w:val="clear" w:pos="720"/>
        <w:tab w:val="left" w:pos="2041" w:leader="none"/>
      </w:tabs>
      <w:outlineLvl w:val="2"/>
    </w:pPr>
    <w:rPr/>
  </w:style>
  <w:style w:type="paragraph" w:styleId="TCLevel4">
    <w:name w:val="T+C Level 4"/>
    <w:basedOn w:val="Body"/>
    <w:qFormat/>
    <w:pPr>
      <w:numPr>
        <w:ilvl w:val="0"/>
        <w:numId w:val="13"/>
      </w:numPr>
      <w:tabs>
        <w:tab w:val="clear" w:pos="720"/>
        <w:tab w:val="left" w:pos="2722" w:leader="none"/>
      </w:tabs>
      <w:ind w:hanging="680" w:start="2721" w:end="0"/>
      <w:outlineLvl w:val="3"/>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pBdr>
        <w:top w:val="single" w:sz="4" w:space="1" w:color="000000"/>
      </w:pBdr>
      <w:tabs>
        <w:tab w:val="clear" w:pos="720"/>
        <w:tab w:val="center" w:pos="4536" w:leader="none"/>
        <w:tab w:val="right" w:pos="9072" w:leader="none"/>
      </w:tabs>
      <w:spacing w:lineRule="auto" w:line="240"/>
    </w:pPr>
    <w:rPr>
      <w:sz w:val="17"/>
    </w:rPr>
  </w:style>
  <w:style w:type="paragraph" w:styleId="FootnoteText">
    <w:name w:val="footnote text"/>
    <w:basedOn w:val="Normal"/>
    <w:pPr>
      <w:keepLines/>
      <w:tabs>
        <w:tab w:val="clear" w:pos="720"/>
        <w:tab w:val="left" w:pos="227" w:leader="none"/>
      </w:tabs>
      <w:spacing w:lineRule="atLeast" w:line="200" w:before="0" w:after="60"/>
      <w:jc w:val="both"/>
    </w:pPr>
    <w:rPr>
      <w:sz w:val="16"/>
    </w:rPr>
  </w:style>
  <w:style w:type="paragraph" w:styleId="Header">
    <w:name w:val="header"/>
    <w:basedOn w:val="Normal"/>
    <w:pPr>
      <w:tabs>
        <w:tab w:val="clear" w:pos="720"/>
        <w:tab w:val="center" w:pos="4536" w:leader="none"/>
        <w:tab w:val="right" w:pos="9072" w:leader="none"/>
      </w:tabs>
      <w:spacing w:lineRule="auto" w:line="240"/>
    </w:pPr>
    <w:rPr>
      <w:sz w:val="19"/>
    </w:rPr>
  </w:style>
  <w:style w:type="paragraph" w:styleId="TOC1">
    <w:name w:val="toc 1"/>
    <w:basedOn w:val="Normal"/>
    <w:next w:val="Normal"/>
    <w:pPr>
      <w:spacing w:before="140" w:after="140"/>
      <w:ind w:hanging="902" w:start="902" w:end="0"/>
    </w:pPr>
    <w:rPr/>
  </w:style>
  <w:style w:type="paragraph" w:styleId="TOC2">
    <w:name w:val="toc 2"/>
    <w:basedOn w:val="Normal"/>
    <w:next w:val="Normal"/>
    <w:pPr>
      <w:spacing w:before="140" w:after="140"/>
      <w:ind w:hanging="680" w:start="878" w:end="0"/>
    </w:pPr>
    <w:rPr/>
  </w:style>
  <w:style w:type="paragraph" w:styleId="TOC3">
    <w:name w:val="toc 3"/>
    <w:basedOn w:val="Normal"/>
    <w:next w:val="Normal"/>
    <w:pPr>
      <w:spacing w:before="140" w:after="140"/>
      <w:ind w:hanging="794" w:start="2041" w:end="0"/>
    </w:pPr>
    <w:rPr/>
  </w:style>
  <w:style w:type="paragraph" w:styleId="TOC4">
    <w:name w:val="toc 4"/>
    <w:basedOn w:val="Normal"/>
    <w:next w:val="Normal"/>
    <w:pPr>
      <w:spacing w:before="140" w:after="140"/>
      <w:ind w:hanging="0" w:start="601" w:end="0"/>
    </w:pPr>
    <w:rPr/>
  </w:style>
  <w:style w:type="paragraph" w:styleId="TOC5">
    <w:name w:val="toc 5"/>
    <w:basedOn w:val="Normal"/>
    <w:next w:val="Normal"/>
    <w:pPr/>
    <w:rPr/>
  </w:style>
  <w:style w:type="paragraph" w:styleId="zFSand">
    <w:name w:val="zFSand"/>
    <w:basedOn w:val="Normal"/>
    <w:next w:val="zFSco-names"/>
    <w:qFormat/>
    <w:pPr>
      <w:spacing w:lineRule="auto" w:line="317" w:before="120" w:after="120"/>
      <w:ind w:hanging="0" w:start="567" w:end="567"/>
      <w:jc w:val="center"/>
    </w:pPr>
    <w:rPr>
      <w:w w:val="125"/>
    </w:rPr>
  </w:style>
  <w:style w:type="paragraph" w:styleId="zFSco-names">
    <w:name w:val="zFSco-names"/>
    <w:basedOn w:val="Normal"/>
    <w:next w:val="zFSand"/>
    <w:qFormat/>
    <w:pPr>
      <w:spacing w:lineRule="auto" w:line="317"/>
      <w:ind w:hanging="0" w:start="567" w:end="567"/>
      <w:jc w:val="center"/>
    </w:pPr>
    <w:rPr>
      <w:b/>
      <w:w w:val="125"/>
      <w:sz w:val="24"/>
    </w:rPr>
  </w:style>
  <w:style w:type="paragraph" w:styleId="zFSnarrative">
    <w:name w:val="zFSnarrative"/>
    <w:basedOn w:val="Normal"/>
    <w:qFormat/>
    <w:pPr>
      <w:spacing w:lineRule="auto" w:line="317"/>
      <w:jc w:val="center"/>
    </w:pPr>
    <w:rPr>
      <w:w w:val="125"/>
    </w:rPr>
  </w:style>
  <w:style w:type="paragraph" w:styleId="zFStitle">
    <w:name w:val="zFStitle"/>
    <w:basedOn w:val="Normal"/>
    <w:next w:val="zFSnarrative"/>
    <w:qFormat/>
    <w:pPr>
      <w:keepNext w:val="true"/>
      <w:spacing w:lineRule="auto" w:line="341" w:before="240" w:after="160"/>
      <w:ind w:hanging="0" w:start="567" w:end="567"/>
      <w:jc w:val="center"/>
    </w:pPr>
    <w:rPr>
      <w:b/>
      <w:w w:val="125"/>
      <w:sz w:val="28"/>
    </w:rPr>
  </w:style>
  <w:style w:type="paragraph" w:styleId="zFSDate">
    <w:name w:val="zFSDate"/>
    <w:basedOn w:val="Normal"/>
    <w:qFormat/>
    <w:pPr>
      <w:jc w:val="center"/>
    </w:pPr>
    <w:rPr/>
  </w:style>
  <w:style w:type="paragraph" w:styleId="zFSFooter">
    <w:name w:val="zFSFooter"/>
    <w:basedOn w:val="Normal"/>
    <w:qFormat/>
    <w:pPr>
      <w:tabs>
        <w:tab w:val="clear" w:pos="720"/>
        <w:tab w:val="left" w:pos="6521" w:leader="none"/>
      </w:tabs>
      <w:spacing w:before="0" w:after="40"/>
      <w:ind w:hanging="0" w:start="-108" w:end="0"/>
    </w:pPr>
    <w:rPr>
      <w:sz w:val="16"/>
    </w:rPr>
  </w:style>
  <w:style w:type="paragraph" w:styleId="BulletF">
    <w:name w:val="BulletF"/>
    <w:basedOn w:val="Normal"/>
    <w:qFormat/>
    <w:pPr>
      <w:numPr>
        <w:ilvl w:val="0"/>
        <w:numId w:val="17"/>
      </w:numPr>
      <w:tabs>
        <w:tab w:val="clear" w:pos="720"/>
      </w:tabs>
    </w:pPr>
    <w:rPr/>
  </w:style>
  <w:style w:type="paragraph" w:styleId="DocumentMap">
    <w:name w:val="Document Map"/>
    <w:basedOn w:val="Normal"/>
    <w:qFormat/>
    <w:pPr>
      <w:shd w:fill="000080" w:val="clear"/>
    </w:pPr>
    <w:rPr>
      <w:rFonts w:ascii="Tahoma" w:hAnsi="Tahoma" w:cs="Tahoma"/>
      <w:lang w:val="fr-FR"/>
    </w:rPr>
  </w:style>
  <w:style w:type="paragraph" w:styleId="TableofAuthorities">
    <w:name w:val="Table of Authorities"/>
    <w:basedOn w:val="Normal"/>
    <w:next w:val="Normal"/>
    <w:qFormat/>
    <w:pPr>
      <w:ind w:hanging="200" w:start="200" w:end="0"/>
    </w:pPr>
    <w:rPr>
      <w:lang w:val="fr-FR"/>
    </w:rPr>
  </w:style>
  <w:style w:type="paragraph" w:styleId="TOC6">
    <w:name w:val="toc 6"/>
    <w:basedOn w:val="Normal"/>
    <w:next w:val="Normal"/>
    <w:pPr>
      <w:tabs>
        <w:tab w:val="clear" w:pos="720"/>
        <w:tab w:val="left" w:pos="851" w:leader="none"/>
        <w:tab w:val="right" w:pos="9072" w:leader="dot"/>
      </w:tabs>
      <w:spacing w:before="140" w:after="140"/>
      <w:ind w:hanging="851" w:start="851" w:end="0"/>
    </w:pPr>
    <w:rPr>
      <w:b/>
      <w:lang w:val="fr-FR"/>
    </w:rPr>
  </w:style>
  <w:style w:type="paragraph" w:styleId="TOC7">
    <w:name w:val="toc 7"/>
    <w:basedOn w:val="Normal"/>
    <w:next w:val="Normal"/>
    <w:pPr/>
    <w:rPr>
      <w:lang w:val="fr-FR"/>
    </w:rPr>
  </w:style>
  <w:style w:type="paragraph" w:styleId="TOC8">
    <w:name w:val="toc 8"/>
    <w:basedOn w:val="Normal"/>
    <w:next w:val="Normal"/>
    <w:pPr/>
    <w:rPr>
      <w:lang w:val="fr-FR"/>
    </w:rPr>
  </w:style>
  <w:style w:type="paragraph" w:styleId="TOC9">
    <w:name w:val="toc 9"/>
    <w:basedOn w:val="Normal"/>
    <w:next w:val="Normal"/>
    <w:pPr/>
    <w:rPr>
      <w:lang w:val="fr-FR"/>
    </w:rPr>
  </w:style>
  <w:style w:type="paragraph" w:styleId="Table1">
    <w:name w:val="Table 1"/>
    <w:basedOn w:val="CellBody"/>
    <w:qFormat/>
    <w:pPr>
      <w:numPr>
        <w:ilvl w:val="0"/>
        <w:numId w:val="4"/>
      </w:numPr>
    </w:pPr>
    <w:rPr/>
  </w:style>
  <w:style w:type="paragraph" w:styleId="Table2">
    <w:name w:val="Table 2"/>
    <w:basedOn w:val="CellBody"/>
    <w:qFormat/>
    <w:pPr>
      <w:numPr>
        <w:ilvl w:val="0"/>
        <w:numId w:val="4"/>
      </w:numPr>
    </w:pPr>
    <w:rPr/>
  </w:style>
  <w:style w:type="paragraph" w:styleId="Table3">
    <w:name w:val="Table 3"/>
    <w:basedOn w:val="CellBody"/>
    <w:qFormat/>
    <w:pPr>
      <w:numPr>
        <w:ilvl w:val="0"/>
        <w:numId w:val="4"/>
      </w:numPr>
    </w:pPr>
    <w:rPr/>
  </w:style>
  <w:style w:type="paragraph" w:styleId="Table4">
    <w:name w:val="Table 4"/>
    <w:basedOn w:val="CellBody"/>
    <w:qFormat/>
    <w:pPr>
      <w:numPr>
        <w:ilvl w:val="0"/>
        <w:numId w:val="4"/>
      </w:numPr>
      <w:tabs>
        <w:tab w:val="clear" w:pos="720"/>
        <w:tab w:val="left" w:pos="567" w:leader="none"/>
      </w:tabs>
    </w:pPr>
    <w:rPr/>
  </w:style>
  <w:style w:type="paragraph" w:styleId="Table5">
    <w:name w:val="Table 5"/>
    <w:basedOn w:val="CellBody"/>
    <w:qFormat/>
    <w:pPr>
      <w:numPr>
        <w:ilvl w:val="0"/>
        <w:numId w:val="4"/>
      </w:numPr>
    </w:pPr>
    <w:rPr/>
  </w:style>
  <w:style w:type="paragraph" w:styleId="Table6">
    <w:name w:val="Table 6"/>
    <w:basedOn w:val="CellBody"/>
    <w:qFormat/>
    <w:pPr>
      <w:numPr>
        <w:ilvl w:val="0"/>
        <w:numId w:val="4"/>
      </w:numPr>
      <w:tabs>
        <w:tab w:val="clear" w:pos="720"/>
        <w:tab w:val="left" w:pos="567" w:leader="none"/>
      </w:tabs>
    </w:pPr>
    <w:rPr/>
  </w:style>
  <w:style w:type="paragraph" w:styleId="Tablealpha">
    <w:name w:val="Table alpha"/>
    <w:basedOn w:val="CellBody"/>
    <w:qFormat/>
    <w:pPr>
      <w:numPr>
        <w:ilvl w:val="0"/>
        <w:numId w:val="8"/>
      </w:numPr>
    </w:pPr>
    <w:rPr/>
  </w:style>
  <w:style w:type="paragraph" w:styleId="Tableroman">
    <w:name w:val="Table roman"/>
    <w:basedOn w:val="CellBody"/>
    <w:qFormat/>
    <w:pPr>
      <w:numPr>
        <w:ilvl w:val="0"/>
        <w:numId w:val="25"/>
      </w:numPr>
      <w:tabs>
        <w:tab w:val="clear" w:pos="720"/>
        <w:tab w:val="left" w:pos="567" w:leader="none"/>
      </w:tabs>
    </w:pPr>
    <w:rPr/>
  </w:style>
  <w:style w:type="paragraph" w:styleId="Tablebullet">
    <w:name w:val="Table bullet"/>
    <w:basedOn w:val="CellBody"/>
    <w:qFormat/>
    <w:pPr>
      <w:numPr>
        <w:ilvl w:val="0"/>
        <w:numId w:val="24"/>
      </w:numPr>
    </w:pPr>
    <w:rPr/>
  </w:style>
  <w:style w:type="paragraph" w:styleId="1LevelPara">
    <w:name w:val="1 Level Para."/>
    <w:basedOn w:val="Normal"/>
    <w:qFormat/>
    <w:pPr>
      <w:numPr>
        <w:ilvl w:val="0"/>
        <w:numId w:val="18"/>
      </w:numPr>
      <w:spacing w:lineRule="auto" w:line="360" w:before="0" w:after="140"/>
      <w:jc w:val="both"/>
      <w:outlineLvl w:val="0"/>
    </w:pPr>
    <w:rPr>
      <w:rFonts w:ascii="Times" w:hAnsi="Times" w:cs="Times"/>
      <w:kern w:val="0"/>
      <w:sz w:val="22"/>
    </w:rPr>
  </w:style>
  <w:style w:type="paragraph" w:styleId="2LevelPara">
    <w:name w:val="2 Level Para."/>
    <w:basedOn w:val="Normal"/>
    <w:qFormat/>
    <w:pPr>
      <w:numPr>
        <w:ilvl w:val="0"/>
        <w:numId w:val="18"/>
      </w:numPr>
      <w:spacing w:lineRule="auto" w:line="360" w:before="0" w:after="140"/>
      <w:jc w:val="both"/>
      <w:outlineLvl w:val="1"/>
    </w:pPr>
    <w:rPr>
      <w:rFonts w:ascii="Times" w:hAnsi="Times" w:cs="Times"/>
      <w:kern w:val="0"/>
      <w:sz w:val="22"/>
    </w:rPr>
  </w:style>
  <w:style w:type="paragraph" w:styleId="3LevelPara">
    <w:name w:val="3 Level Para."/>
    <w:basedOn w:val="Normal"/>
    <w:qFormat/>
    <w:pPr>
      <w:numPr>
        <w:ilvl w:val="0"/>
        <w:numId w:val="18"/>
      </w:numPr>
      <w:spacing w:lineRule="auto" w:line="360" w:before="0" w:after="140"/>
      <w:jc w:val="both"/>
      <w:outlineLvl w:val="2"/>
    </w:pPr>
    <w:rPr>
      <w:rFonts w:ascii="Times" w:hAnsi="Times" w:cs="Times"/>
      <w:kern w:val="0"/>
      <w:sz w:val="22"/>
    </w:rPr>
  </w:style>
  <w:style w:type="paragraph" w:styleId="4LevelPara">
    <w:name w:val="4 Level Para."/>
    <w:basedOn w:val="Normal"/>
    <w:qFormat/>
    <w:pPr>
      <w:numPr>
        <w:ilvl w:val="0"/>
        <w:numId w:val="18"/>
      </w:numPr>
      <w:spacing w:lineRule="auto" w:line="300" w:before="240" w:after="0"/>
      <w:jc w:val="both"/>
      <w:outlineLvl w:val="3"/>
    </w:pPr>
    <w:rPr>
      <w:rFonts w:ascii="Baskerville BT;Times New Roman" w:hAnsi="Baskerville BT;Times New Roman" w:cs="Baskerville BT;Times New Roman"/>
      <w:kern w:val="0"/>
      <w:sz w:val="24"/>
    </w:rPr>
  </w:style>
  <w:style w:type="paragraph" w:styleId="5LevelPara">
    <w:name w:val="5 Level Para."/>
    <w:basedOn w:val="Normal"/>
    <w:qFormat/>
    <w:pPr>
      <w:numPr>
        <w:ilvl w:val="0"/>
        <w:numId w:val="18"/>
      </w:numPr>
      <w:spacing w:lineRule="auto" w:line="300" w:before="240" w:after="0"/>
      <w:jc w:val="both"/>
      <w:outlineLvl w:val="4"/>
    </w:pPr>
    <w:rPr>
      <w:rFonts w:ascii="Baskerville BT;Times New Roman" w:hAnsi="Baskerville BT;Times New Roman" w:cs="Baskerville BT;Times New Roman"/>
      <w:kern w:val="0"/>
      <w:sz w:val="24"/>
    </w:rPr>
  </w:style>
  <w:style w:type="paragraph" w:styleId="6LevelPara">
    <w:name w:val="6 Level Para."/>
    <w:basedOn w:val="Normal"/>
    <w:qFormat/>
    <w:pPr>
      <w:numPr>
        <w:ilvl w:val="0"/>
        <w:numId w:val="18"/>
      </w:numPr>
      <w:spacing w:lineRule="auto" w:line="300" w:before="240" w:after="0"/>
      <w:jc w:val="both"/>
      <w:outlineLvl w:val="5"/>
    </w:pPr>
    <w:rPr>
      <w:rFonts w:ascii="Baskerville BT;Times New Roman" w:hAnsi="Baskerville BT;Times New Roman" w:cs="Baskerville BT;Times New Roman"/>
      <w:kern w:val="0"/>
      <w:sz w:val="24"/>
    </w:rPr>
  </w:style>
  <w:style w:type="paragraph" w:styleId="7LevelPara">
    <w:name w:val="7 Level Para."/>
    <w:basedOn w:val="Normal"/>
    <w:qFormat/>
    <w:pPr>
      <w:numPr>
        <w:ilvl w:val="0"/>
        <w:numId w:val="18"/>
      </w:numPr>
      <w:spacing w:lineRule="auto" w:line="300" w:before="240" w:after="0"/>
      <w:jc w:val="both"/>
      <w:outlineLvl w:val="6"/>
    </w:pPr>
    <w:rPr>
      <w:rFonts w:ascii="Baskerville BT;Times New Roman" w:hAnsi="Baskerville BT;Times New Roman" w:cs="Baskerville BT;Times New Roman"/>
      <w:kern w:val="0"/>
      <w:sz w:val="24"/>
    </w:rPr>
  </w:style>
  <w:style w:type="paragraph" w:styleId="Heading10">
    <w:name w:val="Heading*"/>
    <w:basedOn w:val="Normal"/>
    <w:qFormat/>
    <w:pPr/>
    <w:rPr>
      <w:rFonts w:ascii="Times" w:hAnsi="Times" w:cs="Times"/>
      <w:b/>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HouseStyle1</Template>
  <TotalTime>65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2001-04-03T07:37:00Z</dcterms:created>
  <dc:creator>Any Authorised User</dc:creator>
  <dc:description/>
  <dc:language>en-CA</dc:language>
  <cp:lastModifiedBy>Any Authorised User</cp:lastModifiedBy>
  <cp:lastPrinted>2001-04-03T22:30:00Z</cp:lastPrinted>
  <dcterms:modified xsi:type="dcterms:W3CDTF">2001-04-03T12:00:00Z</dcterms:modified>
  <cp:revision>13</cp:revision>
  <dc:subject/>
  <dc:title>Dated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Number">
    <vt:lpwstr>A01264036</vt:lpwstr>
  </property>
  <property fmtid="{D5CDD505-2E9C-101B-9397-08002B2CF9AE}" pid="3" name="Last Modified">
    <vt:lpwstr>03 Apr 2001</vt:lpwstr>
  </property>
  <property fmtid="{D5CDD505-2E9C-101B-9397-08002B2CF9AE}" pid="4" name="Template Version">
    <vt:lpwstr>6.5a</vt:lpwstr>
  </property>
  <property fmtid="{D5CDD505-2E9C-101B-9397-08002B2CF9AE}" pid="5" name="Version">
    <vt:lpwstr>1.1a</vt:lpwstr>
  </property>
</Properties>
</file>