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sz w:val="24"/>
        </w:rPr>
      </w:pPr>
      <w:r>
        <w:rPr>
          <w:sz w:val="24"/>
        </w:rPr>
      </w:r>
    </w:p>
    <w:p>
      <w:pPr>
        <w:pStyle w:val="titlebar"/>
        <w:rPr>
          <w:sz w:val="24"/>
        </w:rPr>
      </w:pPr>
      <w:r>
        <w:rPr>
          <w:sz w:val="24"/>
        </w:rPr>
        <w:t>BEFORE THE PUBLIC UTILITIES COMMISSION OF THE STATE OF CALIFORNIA</w:t>
      </w:r>
    </w:p>
    <w:p>
      <w:pPr>
        <w:pStyle w:val="Normal"/>
        <w:suppressAutoHyphens w:val="true"/>
        <w:ind w:end="-720"/>
        <w:rPr>
          <w:sz w:val="24"/>
        </w:rPr>
      </w:pPr>
      <w:r>
        <w:rPr>
          <w:sz w:val="24"/>
        </w:rPr>
      </w:r>
    </w:p>
    <w:p>
      <w:pPr>
        <w:pStyle w:val="Normal"/>
        <w:suppressAutoHyphens w:val="true"/>
        <w:ind w:end="-720"/>
        <w:rPr/>
      </w:pPr>
      <w:r>
        <w:rPr/>
      </w:r>
    </w:p>
    <w:p>
      <w:pPr>
        <w:pStyle w:val="Normal"/>
        <w:suppressAutoHyphens w:val="true"/>
        <w:ind w:end="-720"/>
        <w:rPr/>
      </w:pPr>
      <w:r>
        <w:rPr/>
      </w:r>
    </w:p>
    <w:p>
      <w:pPr>
        <w:pStyle w:val="Normal"/>
        <w:widowControl w:val="false"/>
        <w:tabs>
          <w:tab w:val="clear" w:pos="720"/>
          <w:tab w:val="left" w:pos="-1440" w:leader="none"/>
          <w:tab w:val="left" w:pos="1440" w:leader="none"/>
          <w:tab w:val="left" w:pos="5472" w:leader="none"/>
        </w:tabs>
        <w:spacing w:lineRule="exact" w:line="244"/>
        <w:jc w:val="center"/>
        <w:rPr>
          <w:b/>
          <w:sz w:val="24"/>
          <w:u w:val="single"/>
        </w:rPr>
      </w:pPr>
      <w:r>
        <w:rPr>
          <w:b/>
          <w:sz w:val="24"/>
          <w:u w:val="single"/>
        </w:rPr>
        <w:t>NOTICE OF WORKSHOP</w:t>
      </w:r>
    </w:p>
    <w:p>
      <w:pPr>
        <w:pStyle w:val="Normal"/>
        <w:spacing w:lineRule="atLeast" w:line="360"/>
        <w:jc w:val="center"/>
        <w:rPr>
          <w:b/>
          <w:sz w:val="24"/>
          <w:u w:val="single"/>
        </w:rPr>
      </w:pPr>
      <w:r>
        <w:rPr>
          <w:b/>
          <w:sz w:val="24"/>
          <w:u w:val="single"/>
        </w:rPr>
      </w:r>
    </w:p>
    <w:p>
      <w:pPr>
        <w:pStyle w:val="Normal"/>
        <w:jc w:val="center"/>
        <w:rPr>
          <w:b/>
          <w:sz w:val="24"/>
          <w:u w:val="single"/>
        </w:rPr>
      </w:pPr>
      <w:r>
        <w:rPr>
          <w:b/>
          <w:sz w:val="24"/>
          <w:u w:val="single"/>
        </w:rPr>
        <w:t>TO DISCUSS CALIFORNIA NATURAL GAS INFRASTRUCTURE</w:t>
      </w:r>
    </w:p>
    <w:p>
      <w:pPr>
        <w:pStyle w:val="Normal"/>
        <w:rPr>
          <w:b/>
          <w:sz w:val="24"/>
          <w:u w:val="single"/>
        </w:rPr>
      </w:pPr>
      <w:r>
        <w:rPr>
          <w:b/>
          <w:sz w:val="24"/>
          <w:u w:val="single"/>
        </w:rPr>
      </w:r>
    </w:p>
    <w:p>
      <w:pPr>
        <w:pStyle w:val="BodyText"/>
        <w:rPr/>
      </w:pPr>
      <w:r>
        <w:rPr/>
        <w:t xml:space="preserve">Recent events have raised concerns about the adequacy of the natural gas infrastructure in California to serve all gas demand in the state, both in the near-term and the long-term. To begin to address these concerns, the Energy Division has scheduled a workshop to gather information on and obtain analyses of the status of California’s natural gas transmission and storage capacity, and the adequacy of that capacity to deliver gas to customers in California in the coming years.  </w:t>
      </w:r>
    </w:p>
    <w:p>
      <w:pPr>
        <w:pStyle w:val="BodyText"/>
        <w:rPr/>
      </w:pPr>
      <w:r>
        <w:rPr/>
      </w:r>
    </w:p>
    <w:p>
      <w:pPr>
        <w:pStyle w:val="BodyText"/>
        <w:rPr/>
      </w:pPr>
      <w:r>
        <w:rPr/>
        <w:t xml:space="preserve">Pacific Gas and Electric Company (PG&amp;E), Southern California Gas Company (SoCalGas), and San Diego Gas &amp; Electric Company (SDG&amp;E) are requested to make available at this workshop appropriate personnel and data to address the status of the capacity their respective gas systems and the adequacy of those systems to meet gas demands of customers on their systems. Utilities should be prepared to address the current capability of their systems to meet gas demand, and to provide their analysis of the future adequacy of their systems to meet gas demand in the near-term (over the next year), mid-term (two to five years) and long-term (over five years).  Information on the gas demand of different customer classes should be provided.  PG&amp;E, SoCalGas, and SDG&amp;E should be prepared to make presentations at the workshop of their data and analyses.   Attachment A provides a listing of the information the Energy Division would like to have available and presented at the workshop.  </w:t>
      </w:r>
    </w:p>
    <w:p>
      <w:pPr>
        <w:pStyle w:val="BodyText"/>
        <w:rPr/>
      </w:pPr>
      <w:r>
        <w:rPr/>
      </w:r>
    </w:p>
    <w:p>
      <w:pPr>
        <w:pStyle w:val="BodyText"/>
        <w:rPr/>
      </w:pPr>
      <w:r>
        <w:rPr/>
        <w:t xml:space="preserve">Recent information suggests that demand from some customer classes may be different from forecasted demand shown in the California Gas Report.  For example, it is possible that gas demand for electric generation may be greater than indicated in the CGR, especially if power plant siting authorizations are expedited. The Commission is concerned about the accuracy of the forecasts made for the 2000 California Gas Report.  Utilities should bring to the workshop more recent forecasts of gas requirements than those contained in the 2000 California Gas Report.  Utilities should also be prepared to address the gas demand from new power plants, and how that demand would affect the adequacy of the gas infrastructure.  </w:t>
      </w:r>
    </w:p>
    <w:p>
      <w:pPr>
        <w:pStyle w:val="BodyText"/>
        <w:rPr/>
      </w:pPr>
      <w:r>
        <w:rPr/>
      </w:r>
    </w:p>
    <w:p>
      <w:pPr>
        <w:pStyle w:val="BodyText"/>
        <w:rPr/>
      </w:pPr>
      <w:r>
        <w:rPr/>
        <w:t>To the extent possible, utilities should be prepared to discuss known or potential new gas infrastructure projects (both utility and non-utility projects), and how those projects would impact their capability to meet gas requirements.</w:t>
      </w:r>
    </w:p>
    <w:p>
      <w:pPr>
        <w:pStyle w:val="BodyText"/>
        <w:rPr/>
      </w:pPr>
      <w:r>
        <w:rPr/>
      </w:r>
    </w:p>
    <w:p>
      <w:pPr>
        <w:pStyle w:val="BodyText"/>
        <w:rPr/>
      </w:pPr>
      <w:r>
        <w:rPr/>
        <w:t xml:space="preserve">In addition to discussion of “backbone” pipeline and receipt point constraints, this workshop is intended to include discussion of “local transmission” constraints.  </w:t>
      </w:r>
    </w:p>
    <w:p>
      <w:pPr>
        <w:pStyle w:val="BodyText"/>
        <w:rPr/>
      </w:pPr>
      <w:r>
        <w:rPr/>
      </w:r>
    </w:p>
    <w:p>
      <w:pPr>
        <w:pStyle w:val="BodyText"/>
        <w:rPr/>
      </w:pPr>
      <w:r>
        <w:rPr/>
        <w:t xml:space="preserve">The informational workshop is open to all interested parties.  Representatives of interstate pipelines and natural gas storage fields are encouraged to attend.  If other parties are interested in making short presentations, they may arrange to do so by contacting the Energy Division.  The Energy Division does not expect to issue a workshop report at this time.  The information gathered at the workshop will help the Commission determine if an investigation should be established to more thoroughly review these issues.  It will also help the Commission address concerns raised by the California legislature.   </w:t>
      </w:r>
    </w:p>
    <w:p>
      <w:pPr>
        <w:pStyle w:val="Normal"/>
        <w:rPr>
          <w:sz w:val="24"/>
        </w:rPr>
      </w:pPr>
      <w:r>
        <w:rPr>
          <w:sz w:val="24"/>
        </w:rPr>
      </w:r>
    </w:p>
    <w:p>
      <w:pPr>
        <w:pStyle w:val="Normal"/>
        <w:rPr/>
      </w:pPr>
      <w:r>
        <w:rPr>
          <w:sz w:val="24"/>
        </w:rPr>
        <w:t xml:space="preserve">The workshop will be held in the Commission’s </w:t>
      </w:r>
      <w:r>
        <w:rPr>
          <w:b/>
          <w:sz w:val="24"/>
        </w:rPr>
        <w:t>Hearing Room A,</w:t>
      </w:r>
      <w:r>
        <w:rPr>
          <w:sz w:val="24"/>
        </w:rPr>
        <w:t xml:space="preserve"> located at 505 Van Ness Avenue, San Francisco CA, on April 17, 2001.  The workshop will be conducted from 9:00 a.m. to 4:30 p.m.  Any member of the public may attend this workshop.  The Commission’s </w:t>
      </w:r>
      <w:r>
        <w:rPr>
          <w:b/>
          <w:sz w:val="24"/>
        </w:rPr>
        <w:t xml:space="preserve">Hearing Room A </w:t>
      </w:r>
      <w:r>
        <w:rPr>
          <w:sz w:val="24"/>
        </w:rPr>
        <w:t>is wheelchair-accessible.</w:t>
      </w:r>
    </w:p>
    <w:p>
      <w:pPr>
        <w:pStyle w:val="Normal"/>
        <w:rPr>
          <w:sz w:val="24"/>
        </w:rPr>
      </w:pPr>
      <w:r>
        <w:rPr>
          <w:sz w:val="24"/>
        </w:rPr>
      </w:r>
    </w:p>
    <w:p>
      <w:pPr>
        <w:pStyle w:val="num1"/>
        <w:numPr>
          <w:ilvl w:val="0"/>
          <w:numId w:val="0"/>
        </w:numPr>
        <w:spacing w:lineRule="auto" w:line="240"/>
        <w:ind w:hanging="0" w:start="0"/>
        <w:rPr/>
      </w:pPr>
      <w:r>
        <w:rPr>
          <w:rFonts w:cs="Times New Roman" w:ascii="Times New Roman" w:hAnsi="Times New Roman"/>
          <w:sz w:val="24"/>
        </w:rPr>
        <w:t xml:space="preserve">Questions regarding the workshop should be addressed to Richard Myers of the Energy Division (phone: (415) 703-1228; e-mail: </w:t>
      </w:r>
      <w:hyperlink r:id="rId2">
        <w:r>
          <w:rPr>
            <w:rStyle w:val="Hyperlink"/>
          </w:rPr>
          <w:t>ram@cpuc.ca.gov</w:t>
        </w:r>
      </w:hyperlink>
      <w:r>
        <w:rPr>
          <w:sz w:val="24"/>
        </w:rPr>
        <w:t>)</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r>
        <w:br w:type="page"/>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jc w:val="center"/>
        <w:rPr>
          <w:rFonts w:ascii="Times New Roman" w:hAnsi="Times New Roman" w:cs="Times New Roman"/>
          <w:sz w:val="24"/>
        </w:rPr>
      </w:pPr>
      <w:r>
        <w:rPr>
          <w:rFonts w:cs="Times New Roman" w:ascii="Times New Roman" w:hAnsi="Times New Roman"/>
          <w:sz w:val="24"/>
        </w:rPr>
        <w:t>ATTACHMENT A</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 xml:space="preserve">PG&amp;E, SoCalGas, and SDG&amp;E should prepare data on at least the following items and present this information at the workshop.  To the extent possible, the utilities should provide this information to the Energy Division prior to the workshop.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 xml:space="preserve">For purposes of this request, gas “requirements” should be separated between demand and storage injection, and gas “supplies” should be separated between receipts and storage withdrawal.  Bypass requirements and off-system deliveries should also be indicated where appropriate.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Forecasts should be made assuming hot, average, and cold temperature years.</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t xml:space="preserve">Capacity, requirements, and supply should be expressed in million cubic feet per day (MMcfd).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Firm and interruptible interstate pipeline delivery capacity to the state, by pipeline and receipt point,</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Firm and interruptible transmission receipt capacity into the utility systems and into the state, by receipt point, including California production,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Firm storage inventory and withdrawal and injection capacity, by field, and in total, (to the extent known, capacities for the Wild Goose and Lodi storage fields should be included),</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Monthly recorded gas requirements over the last five years (1996-2000), in total and broken down by customer class (core, noncore commercial and industrial, noncore electric generation, and wholesale),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Monthly recorded gas supplies into the utility systems and the state over the last five years (1996-2000), in total and broken down by pipeline/receipt point and California production,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Monthly recorded storage withdrawal, injection, and inventory balance, in total and broken down by core, noncore commercial and industrial, noncore electric generation, wholesale, and balancing, over the last five years,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Monthly recorded daily peak gas demand for each customer class and total daily peak demand for the month over the last five years,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Forecasted monthly gas requirements over the next five years (2001 to 2005), in total and broken down by customer class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Forecasted monthly gas supplies into the utility systems over the next five years (2001-2005), in total and broken down by pipeline/receipt point and California production,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Forecasted annual gas requirements over the period five to ten years from now(2006-2010), in total and broken down by customer class,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Forecasted annual gas supplies over the period five to ten years from now(2006-2010), in total and broken down by pipeline/receipt point and California production,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Forecasted monthly gas curtailments,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Locations of potential system “bottlenecks” or constraints, including on the “local” transmission system,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Forecasted core APD demand,</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Assumptions used regarding forecasted gas demand, particularly for electric generation demand,</w:t>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end="0"/>
        <w:rPr>
          <w:rFonts w:ascii="Times New Roman" w:hAnsi="Times New Roman" w:cs="Times New Roman"/>
          <w:sz w:val="24"/>
        </w:rPr>
      </w:pPr>
      <w:r>
        <w:rPr>
          <w:rFonts w:cs="Times New Roman" w:ascii="Times New Roman" w:hAnsi="Times New Roman"/>
          <w:sz w:val="24"/>
        </w:rPr>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Impacts of new electric generation outside the state, and new electric generation in California, both electric generation on utility systems and that which may obtain gas deliveries bypassing the utility systems,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Known or potential interstate pipeline projects to California, and their capacity, expected start dates, and locations,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Known or potential natural gas storage projects, and their capacity, expected start dates, and locations,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Anticipated utility gas infrastructure projects over the next three years (and if possible over the next five years), including the anticipated capacity, start dates, and costs (“anticipated projects” may include projects which the utilities believe require long-term commitments), </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Recommendations on gas infrastructure improvements,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Maps of the current utility gas transmission and storage systems and receipt points,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Maps of the western interstate pipelines currently serving California, and maps of potential pipeline projects,</w:t>
      </w:r>
    </w:p>
    <w:p>
      <w:pPr>
        <w:pStyle w:val="num1"/>
        <w:numPr>
          <w:ilvl w:val="0"/>
          <w:numId w:val="1"/>
        </w:numPr>
        <w:spacing w:lineRule="auto" w:line="240"/>
        <w:rPr>
          <w:rFonts w:ascii="Times New Roman" w:hAnsi="Times New Roman" w:cs="Times New Roman"/>
          <w:sz w:val="24"/>
        </w:rPr>
      </w:pPr>
      <w:r>
        <w:rPr>
          <w:rFonts w:cs="Times New Roman" w:ascii="Times New Roman" w:hAnsi="Times New Roman"/>
          <w:sz w:val="24"/>
        </w:rPr>
        <w:t xml:space="preserve">Gas infrastructure projects needed to accommodate increased California gas production. </w:t>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sectPr>
          <w:headerReference w:type="default" r:id="rId3"/>
          <w:headerReference w:type="first" r:id="rId4"/>
          <w:footerReference w:type="default" r:id="rId5"/>
          <w:footerReference w:type="first" r:id="rId6"/>
          <w:type w:val="nextPage"/>
          <w:pgSz w:w="12240" w:h="15840"/>
          <w:pgMar w:left="1440" w:right="1440" w:gutter="0" w:header="720" w:top="1296" w:footer="720" w:bottom="900"/>
          <w:pgNumType w:fmt="decimal"/>
          <w:formProt w:val="false"/>
          <w:titlePg/>
          <w:textDirection w:val="lrTb"/>
          <w:docGrid w:type="default" w:linePitch="360" w:charSpace="0"/>
        </w:sectPr>
        <w:pStyle w:val="num1"/>
        <w:numPr>
          <w:ilvl w:val="0"/>
          <w:numId w:val="0"/>
        </w:numPr>
        <w:spacing w:lineRule="auto" w:line="240"/>
        <w:ind w:hanging="0" w:start="0"/>
        <w:rPr>
          <w:rFonts w:ascii="Times New Roman" w:hAnsi="Times New Roman" w:cs="Times New Roman"/>
          <w:sz w:val="24"/>
        </w:rPr>
      </w:pPr>
      <w:r>
        <w:rPr>
          <w:rFonts w:cs="Times New Roman" w:ascii="Times New Roman" w:hAnsi="Times New Roman"/>
          <w:sz w:val="24"/>
        </w:rPr>
      </w:r>
    </w:p>
    <w:p>
      <w:pPr>
        <w:pStyle w:val="Normal"/>
        <w:spacing w:lineRule="auto" w:line="360"/>
        <w:jc w:val="center"/>
        <w:rPr>
          <w:sz w:val="24"/>
        </w:rPr>
      </w:pPr>
      <w:r>
        <w:rPr>
          <w:b/>
          <w:sz w:val="24"/>
          <w:u w:val="single"/>
        </w:rPr>
        <w:t>CERTIFICATE OF SERVICE</w:t>
      </w:r>
    </w:p>
    <w:p>
      <w:pPr>
        <w:pStyle w:val="Normal"/>
        <w:spacing w:lineRule="auto" w:line="360"/>
        <w:rPr>
          <w:sz w:val="24"/>
        </w:rPr>
      </w:pPr>
      <w:r>
        <w:rPr>
          <w:sz w:val="24"/>
        </w:rPr>
      </w:r>
    </w:p>
    <w:p>
      <w:pPr>
        <w:pStyle w:val="Normal"/>
        <w:spacing w:lineRule="auto" w:line="360"/>
        <w:rPr>
          <w:sz w:val="24"/>
        </w:rPr>
      </w:pPr>
      <w:r>
        <w:rPr>
          <w:sz w:val="24"/>
        </w:rPr>
      </w:r>
    </w:p>
    <w:p>
      <w:pPr>
        <w:pStyle w:val="BodyText"/>
        <w:rPr/>
      </w:pPr>
      <w:r>
        <w:rPr/>
        <w:tab/>
        <w:t xml:space="preserve">I certify that I have by mail this day served a true copy of the original attached Energy Division </w:t>
      </w:r>
      <w:r>
        <w:rPr>
          <w:b/>
        </w:rPr>
        <w:t>“Notice Of Workshop To Discuss California Natural Gas Infrastructure”</w:t>
      </w:r>
      <w:r>
        <w:rPr/>
        <w:t xml:space="preserve"> on all parties of record in Order Instituting Investigation 99-07-003.</w:t>
      </w:r>
    </w:p>
    <w:p>
      <w:pPr>
        <w:pStyle w:val="Normal"/>
        <w:rPr>
          <w:sz w:val="24"/>
        </w:rPr>
      </w:pPr>
      <w:r>
        <w:rPr>
          <w:sz w:val="24"/>
        </w:rPr>
      </w:r>
    </w:p>
    <w:p>
      <w:pPr>
        <w:pStyle w:val="BodyText"/>
        <w:spacing w:lineRule="auto" w:line="360"/>
        <w:rPr/>
      </w:pPr>
      <w:r>
        <w:rPr/>
        <w:tab/>
        <w:t>Dated March 23, 2001 at San Francisco, California.</w:t>
      </w:r>
    </w:p>
    <w:p>
      <w:pPr>
        <w:pStyle w:val="Normal"/>
        <w:spacing w:lineRule="auto" w:line="360"/>
        <w:rPr>
          <w:sz w:val="24"/>
        </w:rPr>
      </w:pPr>
      <w:r>
        <w:rPr>
          <w:sz w:val="24"/>
        </w:rPr>
      </w:r>
    </w:p>
    <w:tbl>
      <w:tblPr>
        <w:tblW w:w="2520" w:type="dxa"/>
        <w:jc w:val="start"/>
        <w:tblInd w:w="5958" w:type="dxa"/>
        <w:tblLayout w:type="fixed"/>
        <w:tblCellMar>
          <w:top w:w="0" w:type="dxa"/>
          <w:start w:w="108" w:type="dxa"/>
          <w:bottom w:w="0" w:type="dxa"/>
          <w:end w:w="108" w:type="dxa"/>
        </w:tblCellMar>
      </w:tblPr>
      <w:tblGrid>
        <w:gridCol w:w="2520"/>
      </w:tblGrid>
      <w:tr>
        <w:trPr/>
        <w:tc>
          <w:tcPr>
            <w:tcW w:w="2520" w:type="dxa"/>
            <w:tcBorders>
              <w:bottom w:val="single" w:sz="4" w:space="0" w:color="000000"/>
            </w:tcBorders>
          </w:tcPr>
          <w:p>
            <w:pPr>
              <w:pStyle w:val="Normal"/>
              <w:snapToGrid w:val="false"/>
              <w:spacing w:lineRule="auto" w:line="360"/>
              <w:jc w:val="center"/>
              <w:rPr>
                <w:sz w:val="24"/>
              </w:rPr>
            </w:pPr>
            <w:r>
              <w:rPr>
                <w:sz w:val="24"/>
              </w:rPr>
            </w:r>
          </w:p>
        </w:tc>
      </w:tr>
      <w:tr>
        <w:trPr/>
        <w:tc>
          <w:tcPr>
            <w:tcW w:w="2520" w:type="dxa"/>
            <w:tcBorders/>
          </w:tcPr>
          <w:p>
            <w:pPr>
              <w:pStyle w:val="Normal"/>
              <w:spacing w:lineRule="auto" w:line="360"/>
              <w:jc w:val="center"/>
              <w:rPr>
                <w:sz w:val="24"/>
              </w:rPr>
            </w:pPr>
            <w:r>
              <w:rPr>
                <w:sz w:val="24"/>
              </w:rPr>
              <w:t>Richard Myers</w:t>
            </w:r>
          </w:p>
        </w:tc>
      </w:tr>
    </w:tbl>
    <w:p>
      <w:pPr>
        <w:pStyle w:val="Normal"/>
        <w:spacing w:lineRule="auto" w:line="360"/>
        <w:jc w:val="center"/>
        <w:rPr>
          <w:sz w:val="24"/>
        </w:rPr>
      </w:pPr>
      <w:r>
        <w:rPr>
          <w:sz w:val="24"/>
        </w:rPr>
      </w:r>
    </w:p>
    <w:p>
      <w:pPr>
        <w:pStyle w:val="Normal"/>
        <w:jc w:val="center"/>
        <w:rPr>
          <w:sz w:val="24"/>
          <w:u w:val="single"/>
        </w:rPr>
      </w:pPr>
      <w:r>
        <w:rPr>
          <w:b/>
          <w:sz w:val="24"/>
          <w:u w:val="single"/>
        </w:rPr>
        <w:t>N O T I C E</w:t>
      </w:r>
    </w:p>
    <w:p>
      <w:pPr>
        <w:pStyle w:val="Normal"/>
        <w:rPr>
          <w:sz w:val="24"/>
          <w:u w:val="single"/>
        </w:rPr>
      </w:pPr>
      <w:r>
        <w:rPr>
          <w:sz w:val="24"/>
          <w:u w:val="single"/>
        </w:rPr>
      </w:r>
    </w:p>
    <w:p>
      <w:pPr>
        <w:pStyle w:val="Normal"/>
        <w:tabs>
          <w:tab w:val="clear" w:pos="720"/>
          <w:tab w:val="left" w:pos="0" w:leader="none"/>
        </w:tabs>
        <w:ind w:start="1440" w:end="1440"/>
        <w:rPr>
          <w:sz w:val="24"/>
        </w:rPr>
      </w:pPr>
      <w:r>
        <w:rPr>
          <w:sz w:val="24"/>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 xml:space="preserve">If specialized accommodations for the disabled are needed, e.g., sign language interpreters, those making the arrangements must call the Public Advisor at (415) 703-2074 or TDD# (415)703-2032 five working days in advance of the event. </w:t>
      </w:r>
    </w:p>
    <w:p>
      <w:pPr>
        <w:pStyle w:val="Normal"/>
        <w:rPr>
          <w:sz w:val="24"/>
        </w:rPr>
      </w:pPr>
      <w:r>
        <w:rPr>
          <w:sz w:val="24"/>
        </w:rPr>
      </w:r>
    </w:p>
    <w:p>
      <w:pPr>
        <w:pStyle w:val="Normal"/>
        <w:rPr/>
      </w:pPr>
      <w:r>
        <w:rPr/>
      </w:r>
    </w:p>
    <w:sectPr>
      <w:headerReference w:type="default" r:id="rId7"/>
      <w:headerReference w:type="first"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sz w:val="24"/>
      </w:rPr>
    </w:pPr>
    <w:r>
      <w:rPr>
        <w:sz w:val="24"/>
      </w:rPr>
    </w:r>
  </w:p>
  <w:p>
    <w:pPr>
      <w:pStyle w:val="Normal"/>
      <w:widowControl w:val="false"/>
      <w:tabs>
        <w:tab w:val="clear" w:pos="720"/>
        <w:tab w:val="center" w:pos="4680" w:leader="none"/>
      </w:tabs>
      <w:ind w:end="476"/>
      <w:rPr>
        <w:sz w:val="28"/>
      </w:rPr>
    </w:pPr>
    <w:r>
      <w:rPr>
        <w:sz w:val="2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ind w:end="476"/>
      <w:rPr>
        <w:sz w:val="24"/>
      </w:rPr>
    </w:pPr>
    <w:r>
      <w:rPr>
        <w:sz w:val="24"/>
      </w:rPr>
    </w:r>
  </w:p>
  <w:p>
    <w:pPr>
      <w:pStyle w:val="Normal"/>
      <w:widowControl w:val="false"/>
      <w:spacing w:lineRule="exact" w:line="2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style>
  <w:style w:type="character" w:styleId="WW8Num3z0">
    <w:name w:val="WW8Num3z0"/>
    <w:qFormat/>
    <w:rPr>
      <w:rFonts w:ascii="Palatino" w:hAnsi="Palatino" w:cs="Palatino"/>
      <w:b w:val="false"/>
      <w:i w:val="false"/>
      <w:sz w:val="24"/>
    </w:rPr>
  </w:style>
  <w:style w:type="character" w:styleId="WW8Num5z0">
    <w:name w:val="WW8Num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 w:hAnsi="Helvetica" w:cs="Helvetica"/>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rFonts w:ascii="Palatino" w:hAnsi="Palatino" w:cs="Palatino"/>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m@cpuc.ca.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2001-03-19T17:40:00Z</dcterms:created>
  <dc:creator>Steve Roscow</dc:creator>
  <dc:description/>
  <dc:language>en-CA</dc:language>
  <cp:lastModifiedBy>Richard Myers</cp:lastModifiedBy>
  <cp:lastPrinted>2001-03-23T11:57:00Z</cp:lastPrinted>
  <dcterms:modified xsi:type="dcterms:W3CDTF">2001-03-23T17:41:00Z</dcterms:modified>
  <cp:revision>18</cp:revision>
  <dc:subject/>
  <dc:title>BEFORE THE PUBLIC UTILITIES COMMISSION OF THE STATE OF CALIFORNIA</dc:title>
</cp:coreProperties>
</file>