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r>
    </w:p>
    <w:p>
      <w:pPr>
        <w:pStyle w:val="BodyText2"/>
        <w:rPr/>
      </w:pPr>
      <w:r>
        <w:rPr/>
        <w:t>A meeting has been scheduled for Friday, July 14, 2000, in El Paso, Texas, to discuss alternative pooling models for El Paso Natural Gas pipeline system. The meeting will be held in El Paso Natural Gas’ offices at 100 North Stanton in the first floor meeting room beginning at 1:00 p.m. MT.  Lunch will be made available from 11:30 a.m. until 1:00 p.m.</w:t>
      </w:r>
    </w:p>
    <w:p>
      <w:pPr>
        <w:pStyle w:val="BodyText2"/>
        <w:rPr/>
      </w:pPr>
      <w:r>
        <w:rPr/>
      </w:r>
    </w:p>
    <w:p>
      <w:pPr>
        <w:pStyle w:val="BodyText2"/>
        <w:rPr/>
      </w:pPr>
      <w:r>
        <w:rPr/>
        <w:t xml:space="preserve">Please RSVP to Susan L. Johnson, 915-496-2239 </w:t>
      </w:r>
      <w:hyperlink r:id="rId2">
        <w:r>
          <w:rPr>
            <w:rStyle w:val="Hyperlink"/>
          </w:rPr>
          <w:t>johnsons@epenergy.com</w:t>
        </w:r>
      </w:hyperlink>
      <w:r>
        <w:rPr/>
        <w:t>, by Tuesday, July 12 identifying (1) who will be attending the meeting and (2) who will be arriving in time for lunch.</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t>Technical Subcommittee Reviewing Alternatives for a Pooling Model</w:t>
      </w:r>
    </w:p>
    <w:p>
      <w:pPr>
        <w:pStyle w:val="Normal"/>
        <w:jc w:val="center"/>
        <w:rPr>
          <w:rFonts w:ascii="Arial" w:hAnsi="Arial" w:cs="Arial"/>
          <w:sz w:val="28"/>
        </w:rPr>
      </w:pPr>
      <w:r>
        <w:rPr>
          <w:rFonts w:cs="Arial" w:ascii="Arial" w:hAnsi="Arial"/>
          <w:sz w:val="28"/>
        </w:rPr>
        <w:t>For implementation on El Paso Natural Gas’ Pipeline System</w:t>
      </w:r>
    </w:p>
    <w:p>
      <w:pPr>
        <w:pStyle w:val="Normal"/>
        <w:jc w:val="center"/>
        <w:rPr>
          <w:rFonts w:ascii="Arial" w:hAnsi="Arial" w:cs="Arial"/>
          <w:sz w:val="28"/>
        </w:rPr>
      </w:pPr>
      <w:r>
        <w:rPr>
          <w:rFonts w:cs="Arial" w:ascii="Arial" w:hAnsi="Arial"/>
          <w:sz w:val="28"/>
        </w:rPr>
        <w:t>Friday, July 14, 2000, 1:00 p.m.</w:t>
      </w:r>
    </w:p>
    <w:p>
      <w:pPr>
        <w:pStyle w:val="Normal"/>
        <w:jc w:val="center"/>
        <w:rPr>
          <w:rFonts w:ascii="Arial" w:hAnsi="Arial" w:cs="Arial"/>
          <w:sz w:val="28"/>
        </w:rPr>
      </w:pPr>
      <w:r>
        <w:rPr>
          <w:rFonts w:cs="Arial" w:ascii="Arial" w:hAnsi="Arial"/>
          <w:sz w:val="28"/>
        </w:rPr>
        <w:t>Lunch will be available from 11:30 a.m. – 1:00 p.m.</w:t>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t>Draft Agenda</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tbl>
      <w:tblPr>
        <w:tblW w:w="7758" w:type="dxa"/>
        <w:jc w:val="start"/>
        <w:tblInd w:w="0" w:type="dxa"/>
        <w:tblLayout w:type="fixed"/>
        <w:tblCellMar>
          <w:top w:w="0" w:type="dxa"/>
          <w:start w:w="108" w:type="dxa"/>
          <w:bottom w:w="0" w:type="dxa"/>
          <w:end w:w="108" w:type="dxa"/>
        </w:tblCellMar>
      </w:tblPr>
      <w:tblGrid>
        <w:gridCol w:w="558"/>
        <w:gridCol w:w="7200"/>
      </w:tblGrid>
      <w:tr>
        <w:trPr/>
        <w:tc>
          <w:tcPr>
            <w:tcW w:w="558" w:type="dxa"/>
            <w:tcBorders/>
          </w:tcPr>
          <w:p>
            <w:pPr>
              <w:pStyle w:val="Normal"/>
              <w:spacing w:lineRule="auto" w:line="360" w:before="120" w:after="0"/>
              <w:rPr>
                <w:rFonts w:ascii="Arial" w:hAnsi="Arial" w:cs="Arial"/>
                <w:sz w:val="28"/>
              </w:rPr>
            </w:pPr>
            <w:r>
              <w:rPr>
                <w:rFonts w:cs="Arial" w:ascii="Arial" w:hAnsi="Arial"/>
                <w:sz w:val="28"/>
              </w:rPr>
              <w:t>1.</w:t>
            </w:r>
          </w:p>
        </w:tc>
        <w:tc>
          <w:tcPr>
            <w:tcW w:w="7200" w:type="dxa"/>
            <w:tcBorders/>
          </w:tcPr>
          <w:p>
            <w:pPr>
              <w:pStyle w:val="Normal"/>
              <w:spacing w:lineRule="auto" w:line="360" w:before="120" w:after="0"/>
              <w:rPr>
                <w:rFonts w:ascii="Arial" w:hAnsi="Arial" w:cs="Arial"/>
                <w:sz w:val="28"/>
              </w:rPr>
            </w:pPr>
            <w:r>
              <w:rPr>
                <w:rFonts w:cs="Arial" w:ascii="Arial" w:hAnsi="Arial"/>
                <w:sz w:val="28"/>
              </w:rPr>
              <w:t>Administrative: Welcome, Introductions</w:t>
            </w:r>
          </w:p>
        </w:tc>
      </w:tr>
      <w:tr>
        <w:trPr/>
        <w:tc>
          <w:tcPr>
            <w:tcW w:w="558" w:type="dxa"/>
            <w:tcBorders/>
          </w:tcPr>
          <w:p>
            <w:pPr>
              <w:pStyle w:val="Normal"/>
              <w:spacing w:lineRule="auto" w:line="360" w:before="120" w:after="0"/>
              <w:rPr>
                <w:rFonts w:ascii="Arial" w:hAnsi="Arial" w:cs="Arial"/>
                <w:sz w:val="28"/>
              </w:rPr>
            </w:pPr>
            <w:r>
              <w:rPr>
                <w:rFonts w:cs="Arial" w:ascii="Arial" w:hAnsi="Arial"/>
                <w:sz w:val="28"/>
              </w:rPr>
              <w:t>2.</w:t>
            </w:r>
          </w:p>
        </w:tc>
        <w:tc>
          <w:tcPr>
            <w:tcW w:w="7200" w:type="dxa"/>
            <w:tcBorders/>
          </w:tcPr>
          <w:p>
            <w:pPr>
              <w:pStyle w:val="Normal"/>
              <w:spacing w:lineRule="auto" w:line="360" w:before="120" w:after="0"/>
              <w:rPr>
                <w:rFonts w:ascii="Arial" w:hAnsi="Arial" w:cs="Arial"/>
                <w:sz w:val="28"/>
              </w:rPr>
            </w:pPr>
            <w:r>
              <w:rPr>
                <w:rFonts w:cs="Arial" w:ascii="Arial" w:hAnsi="Arial"/>
                <w:sz w:val="28"/>
              </w:rPr>
              <w:t>Review of goals to be accomplished by pooling.</w:t>
            </w:r>
          </w:p>
        </w:tc>
      </w:tr>
      <w:tr>
        <w:trPr/>
        <w:tc>
          <w:tcPr>
            <w:tcW w:w="558" w:type="dxa"/>
            <w:tcBorders/>
          </w:tcPr>
          <w:p>
            <w:pPr>
              <w:pStyle w:val="Normal"/>
              <w:spacing w:lineRule="auto" w:line="360" w:before="120" w:after="0"/>
              <w:rPr>
                <w:rFonts w:ascii="Arial" w:hAnsi="Arial" w:cs="Arial"/>
                <w:sz w:val="28"/>
              </w:rPr>
            </w:pPr>
            <w:r>
              <w:rPr>
                <w:rFonts w:cs="Arial" w:ascii="Arial" w:hAnsi="Arial"/>
                <w:sz w:val="28"/>
              </w:rPr>
              <w:t>3.</w:t>
            </w:r>
          </w:p>
        </w:tc>
        <w:tc>
          <w:tcPr>
            <w:tcW w:w="7200" w:type="dxa"/>
            <w:tcBorders/>
          </w:tcPr>
          <w:p>
            <w:pPr>
              <w:pStyle w:val="Normal"/>
              <w:spacing w:lineRule="auto" w:line="360" w:before="120" w:after="0"/>
              <w:rPr>
                <w:rFonts w:ascii="Arial" w:hAnsi="Arial" w:cs="Arial"/>
                <w:sz w:val="28"/>
              </w:rPr>
            </w:pPr>
            <w:r>
              <w:rPr>
                <w:rFonts w:cs="Arial" w:ascii="Arial" w:hAnsi="Arial"/>
                <w:sz w:val="28"/>
              </w:rPr>
              <w:t>Presentations/discussions of pooling alternatives</w:t>
            </w:r>
          </w:p>
          <w:p>
            <w:pPr>
              <w:pStyle w:val="Normal"/>
              <w:numPr>
                <w:ilvl w:val="0"/>
                <w:numId w:val="1"/>
              </w:numPr>
              <w:spacing w:lineRule="auto" w:line="360" w:before="120" w:after="0"/>
              <w:rPr>
                <w:rFonts w:ascii="Arial" w:hAnsi="Arial" w:cs="Arial"/>
                <w:sz w:val="28"/>
              </w:rPr>
            </w:pPr>
            <w:r>
              <w:rPr>
                <w:rFonts w:cs="Arial" w:ascii="Arial" w:hAnsi="Arial"/>
                <w:sz w:val="28"/>
              </w:rPr>
              <w:t>18 pooling areas</w:t>
            </w:r>
          </w:p>
          <w:p>
            <w:pPr>
              <w:pStyle w:val="Normal"/>
              <w:numPr>
                <w:ilvl w:val="0"/>
                <w:numId w:val="1"/>
              </w:numPr>
              <w:spacing w:lineRule="auto" w:line="360" w:before="120" w:after="0"/>
              <w:rPr>
                <w:rFonts w:ascii="Arial" w:hAnsi="Arial" w:cs="Arial"/>
                <w:sz w:val="28"/>
              </w:rPr>
            </w:pPr>
            <w:r>
              <w:rPr>
                <w:rFonts w:cs="Arial" w:ascii="Arial" w:hAnsi="Arial"/>
                <w:sz w:val="28"/>
              </w:rPr>
              <w:t>Sum of squares</w:t>
            </w:r>
          </w:p>
          <w:p>
            <w:pPr>
              <w:pStyle w:val="Normal"/>
              <w:numPr>
                <w:ilvl w:val="0"/>
                <w:numId w:val="1"/>
              </w:numPr>
              <w:spacing w:lineRule="auto" w:line="360" w:before="120" w:after="0"/>
              <w:rPr>
                <w:rFonts w:ascii="Arial" w:hAnsi="Arial" w:cs="Arial"/>
                <w:sz w:val="28"/>
              </w:rPr>
            </w:pPr>
            <w:r>
              <w:rPr>
                <w:rFonts w:cs="Arial" w:ascii="Arial" w:hAnsi="Arial"/>
                <w:sz w:val="28"/>
              </w:rPr>
              <w:t>Fewer number of pooling areas</w:t>
            </w:r>
          </w:p>
        </w:tc>
      </w:tr>
      <w:tr>
        <w:trPr/>
        <w:tc>
          <w:tcPr>
            <w:tcW w:w="558" w:type="dxa"/>
            <w:tcBorders/>
          </w:tcPr>
          <w:p>
            <w:pPr>
              <w:pStyle w:val="Normal"/>
              <w:spacing w:lineRule="auto" w:line="360" w:before="120" w:after="0"/>
              <w:rPr>
                <w:rFonts w:ascii="Arial" w:hAnsi="Arial" w:cs="Arial"/>
                <w:sz w:val="28"/>
              </w:rPr>
            </w:pPr>
            <w:r>
              <w:rPr>
                <w:rFonts w:cs="Arial" w:ascii="Arial" w:hAnsi="Arial"/>
                <w:sz w:val="28"/>
              </w:rPr>
              <w:t>4.</w:t>
            </w:r>
          </w:p>
        </w:tc>
        <w:tc>
          <w:tcPr>
            <w:tcW w:w="7200" w:type="dxa"/>
            <w:tcBorders/>
          </w:tcPr>
          <w:p>
            <w:pPr>
              <w:pStyle w:val="Normal"/>
              <w:spacing w:lineRule="auto" w:line="360" w:before="120" w:after="0"/>
              <w:rPr>
                <w:rFonts w:ascii="Arial" w:hAnsi="Arial" w:cs="Arial"/>
                <w:sz w:val="28"/>
              </w:rPr>
            </w:pPr>
            <w:r>
              <w:rPr>
                <w:rFonts w:cs="Arial" w:ascii="Arial" w:hAnsi="Arial"/>
                <w:sz w:val="28"/>
              </w:rPr>
              <w:t>Agreement on “go forward” strategy</w:t>
            </w:r>
          </w:p>
        </w:tc>
      </w:tr>
      <w:tr>
        <w:trPr/>
        <w:tc>
          <w:tcPr>
            <w:tcW w:w="558" w:type="dxa"/>
            <w:tcBorders/>
          </w:tcPr>
          <w:p>
            <w:pPr>
              <w:pStyle w:val="Normal"/>
              <w:spacing w:lineRule="auto" w:line="360" w:before="120" w:after="0"/>
              <w:rPr>
                <w:rFonts w:ascii="Arial" w:hAnsi="Arial" w:cs="Arial"/>
                <w:sz w:val="28"/>
              </w:rPr>
            </w:pPr>
            <w:r>
              <w:rPr>
                <w:rFonts w:cs="Arial" w:ascii="Arial" w:hAnsi="Arial"/>
                <w:sz w:val="28"/>
              </w:rPr>
              <w:t>5.</w:t>
            </w:r>
          </w:p>
        </w:tc>
        <w:tc>
          <w:tcPr>
            <w:tcW w:w="7200" w:type="dxa"/>
            <w:tcBorders/>
          </w:tcPr>
          <w:p>
            <w:pPr>
              <w:pStyle w:val="Normal"/>
              <w:spacing w:lineRule="auto" w:line="360" w:before="120" w:after="0"/>
              <w:rPr>
                <w:rFonts w:ascii="Arial" w:hAnsi="Arial" w:cs="Arial"/>
                <w:sz w:val="28"/>
              </w:rPr>
            </w:pPr>
            <w:r>
              <w:rPr>
                <w:rFonts w:cs="Arial" w:ascii="Arial" w:hAnsi="Arial"/>
                <w:sz w:val="28"/>
              </w:rPr>
              <w:t>Adjourn</w:t>
            </w:r>
          </w:p>
        </w:tc>
      </w:tr>
    </w:tbl>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sons@epenergy.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2000-07-07T18:00:00Z</dcterms:created>
  <dc:creator>EPEC</dc:creator>
  <dc:description/>
  <dc:language>en-CA</dc:language>
  <cp:lastModifiedBy>EPEC</cp:lastModifiedBy>
  <cp:lastPrinted>2000-05-31T10:51:00Z</cp:lastPrinted>
  <dcterms:modified xsi:type="dcterms:W3CDTF">2000-07-07T19:22:00Z</dcterms:modified>
  <cp:revision>6</cp:revision>
  <dc:subject/>
  <dc:title>This e-mail will be sent to participants of the pooling committee</dc:title>
</cp:coreProperties>
</file>