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To:</w:t>
        <w:tab/>
        <w:t>All CalPX Participants</w:t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ab/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From:</w:t>
        <w:tab/>
        <w:t>PXCC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rPr>
          <w:b/>
          <w:sz w:val="24"/>
        </w:rPr>
      </w:pPr>
      <w:r>
        <w:rPr>
          <w:sz w:val="24"/>
        </w:rPr>
        <w:t xml:space="preserve">RE:  </w:t>
        <w:tab/>
      </w:r>
      <w:r>
        <w:rPr>
          <w:b/>
          <w:sz w:val="24"/>
        </w:rPr>
        <w:t>PXCC Notice 00-67</w:t>
      </w:r>
      <w:r>
        <w:rPr>
          <w:sz w:val="24"/>
        </w:rPr>
        <w:t xml:space="preserve"> –New Facsimile Machine Numbers on Trade Floor</w:t>
      </w:r>
    </w:p>
    <w:p>
      <w:pPr>
        <w:pStyle w:val="Normal"/>
        <w:ind w:hanging="720" w:start="72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Date:</w:t>
        <w:tab/>
        <w:t>November 14, 2000</w:t>
      </w:r>
    </w:p>
    <w:p>
      <w:pPr>
        <w:pStyle w:val="Normal"/>
        <w:spacing w:lineRule="atLeast" w:line="240"/>
        <w:ind w:start="1008" w:end="0"/>
        <w:rPr>
          <w:b/>
          <w:color w:val="000000"/>
          <w:sz w:val="22"/>
          <w:lang w:eastAsia="en-US"/>
        </w:rPr>
      </w:pPr>
      <w:r>
        <w:rPr>
          <w:b/>
          <w:color w:val="000000"/>
          <w:sz w:val="22"/>
          <w:lang w:eastAsia="en-US"/>
        </w:rPr>
        <w:tab/>
      </w:r>
    </w:p>
    <w:p>
      <w:pPr>
        <w:pStyle w:val="Normal"/>
        <w:spacing w:lineRule="atLeast" w:line="240"/>
        <w:ind w:start="1008" w:end="0"/>
        <w:rPr>
          <w:b/>
          <w:color w:val="000000"/>
          <w:sz w:val="22"/>
          <w:lang w:eastAsia="en-US"/>
        </w:rPr>
      </w:pPr>
      <w:r>
        <w:rPr>
          <w:b/>
          <w:color w:val="000000"/>
          <w:sz w:val="22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Tms Rmn" w:ascii="Tms Rmn" w:hAnsi="Tms Rmn"/>
          <w:color w:val="000000"/>
          <w:sz w:val="24"/>
          <w:lang w:eastAsia="en-US"/>
        </w:rPr>
        <w:t>Effective Monday, November 20, 2000, CalPX will be changing the f</w:t>
      </w:r>
      <w:r>
        <w:rPr>
          <w:sz w:val="24"/>
        </w:rPr>
        <w:t>acsimile</w:t>
      </w:r>
      <w:r>
        <w:rPr>
          <w:rFonts w:cs="Tms Rmn" w:ascii="Tms Rmn" w:hAnsi="Tms Rmn"/>
          <w:color w:val="000000"/>
          <w:sz w:val="24"/>
          <w:lang w:eastAsia="en-US"/>
        </w:rPr>
        <w:t xml:space="preserve"> machine numbers for DA/DO, CTS, and Real Time.  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Please take note of the new numbers and update your records accordingly.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DA/DO and CTS -</w:t>
        <w:tab/>
        <w:t>(626) 537-3192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 xml:space="preserve">Real Time - </w:t>
        <w:tab/>
        <w:tab/>
        <w:t>(626) 537-3168</w:t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color w:val="000000"/>
          <w:sz w:val="24"/>
          <w:lang w:eastAsia="en-US"/>
        </w:rPr>
      </w:pPr>
      <w:r>
        <w:rPr>
          <w:rFonts w:cs="Tms Rmn" w:ascii="Tms Rmn" w:hAnsi="Tms Rmn"/>
          <w:color w:val="000000"/>
          <w:sz w:val="24"/>
          <w:lang w:eastAsia="en-US"/>
        </w:rPr>
        <w:t>Please call the Trade Floor at 800-464-8831 if there are any questions.</w:t>
      </w:r>
    </w:p>
    <w:sectPr>
      <w:headerReference w:type="default" r:id="rId2"/>
      <w:type w:val="nextPage"/>
      <w:pgSz w:w="12240" w:h="15840"/>
      <w:pgMar w:left="1800" w:right="1800" w:gutter="0" w:header="72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-45720</wp:posOffset>
          </wp:positionH>
          <wp:positionV relativeFrom="paragraph">
            <wp:posOffset>30480</wp:posOffset>
          </wp:positionV>
          <wp:extent cx="1600200" cy="1066800"/>
          <wp:effectExtent l="0" t="0" r="0" b="0"/>
          <wp:wrapTight wrapText="bothSides">
            <wp:wrapPolygon edited="0">
              <wp:start x="-97" y="0"/>
              <wp:lineTo x="-97" y="21448"/>
              <wp:lineTo x="21600" y="21448"/>
              <wp:lineTo x="21600" y="0"/>
              <wp:lineTo x="-97" y="0"/>
            </wp:wrapPolygon>
          </wp:wrapTight>
          <wp:docPr id="1" name="CPX-Vc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X-Vc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20" r="-14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Arial" w:hAnsi="Arial" w:cs="Arial"/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WW8Num1z0">
    <w:name w:val="WW8Num1z0"/>
    <w:qFormat/>
    <w:rPr>
      <w:rFonts w:ascii="Symbol" w:hAnsi="Symbol" w:cs="Symbol"/>
      <w:color w:val="auto"/>
      <w:sz w:val="20"/>
    </w:rPr>
  </w:style>
  <w:style w:type="character" w:styleId="WW8Num2z0">
    <w:name w:val="WW8Num2z0"/>
    <w:qFormat/>
    <w:rPr>
      <w:rFonts w:ascii="Symbol" w:hAnsi="Symbol" w:cs="Symbol"/>
      <w:color w:val="auto"/>
      <w:sz w:val="20"/>
    </w:rPr>
  </w:style>
  <w:style w:type="character" w:styleId="WW8Num3z0">
    <w:name w:val="WW8Num3z0"/>
    <w:qFormat/>
    <w:rPr>
      <w:rFonts w:ascii="Symbol" w:hAnsi="Symbol" w:cs="Symbol"/>
      <w:color w:val="auto"/>
      <w:sz w:val="20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  <w:color w:val="auto"/>
      <w:sz w:val="20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  <w:color w:val="auto"/>
      <w:sz w:val="20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  <w:color w:val="auto"/>
      <w:sz w:val="20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  <w:i/>
      <w:smallCaps/>
      <w:vanish/>
      <w:color w:val="808080"/>
    </w:rPr>
  </w:style>
  <w:style w:type="paragraph" w:styleId="BodyText3">
    <w:name w:val="Body Text 3"/>
    <w:basedOn w:val="Normal"/>
    <w:qFormat/>
    <w:pPr/>
    <w:rPr>
      <w:b/>
      <w:sz w:val="24"/>
    </w:rPr>
  </w:style>
  <w:style w:type="paragraph" w:styleId="BodyTextIndent">
    <w:name w:val="Body Text Indent"/>
    <w:basedOn w:val="Normal"/>
    <w:pPr>
      <w:ind w:hanging="720" w:start="72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2000-11-14T19:52:00Z</dcterms:created>
  <dc:creator>Trent A. Carlson</dc:creator>
  <dc:description/>
  <dc:language>en-CA</dc:language>
  <cp:lastModifiedBy>PXRTTAG</cp:lastModifiedBy>
  <cp:lastPrinted>2000-11-14T15:22:00Z</cp:lastPrinted>
  <dcterms:modified xsi:type="dcterms:W3CDTF">2000-11-15T00:13:00Z</dcterms:modified>
  <cp:revision>19</cp:revision>
  <dc:subject/>
  <dc:title>Scheduling Coordinator Certification of External Imports of Ancillary Services</dc:title>
</cp:coreProperties>
</file>