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Portland General Electric Company – Notice</w:t>
      </w:r>
    </w:p>
    <w:p>
      <w:pPr>
        <w:pStyle w:val="Normal"/>
        <w:rPr>
          <w:sz w:val="24"/>
        </w:rPr>
      </w:pPr>
      <w:r>
        <w:rPr>
          <w:sz w:val="24"/>
        </w:rPr>
      </w:r>
    </w:p>
    <w:p>
      <w:pPr>
        <w:pStyle w:val="Normal"/>
        <w:rPr>
          <w:sz w:val="24"/>
        </w:rPr>
      </w:pPr>
      <w:r>
        <w:rPr>
          <w:sz w:val="24"/>
        </w:rPr>
        <w:t>DATE:</w:t>
        <w:tab/>
        <w:t>December 3, 2001</w:t>
        <w:tab/>
        <w:t>Time</w:t>
      </w:r>
    </w:p>
    <w:p>
      <w:pPr>
        <w:pStyle w:val="Normal"/>
        <w:rPr>
          <w:sz w:val="24"/>
        </w:rPr>
      </w:pPr>
      <w:r>
        <w:rPr>
          <w:sz w:val="24"/>
        </w:rPr>
      </w:r>
    </w:p>
    <w:p>
      <w:pPr>
        <w:pStyle w:val="Normal"/>
        <w:rPr>
          <w:sz w:val="24"/>
        </w:rPr>
      </w:pPr>
      <w:r>
        <w:rPr>
          <w:sz w:val="24"/>
        </w:rPr>
        <w:t>TO:</w:t>
        <w:tab/>
      </w:r>
      <w:r>
        <w:rPr>
          <w:b/>
          <w:i/>
          <w:sz w:val="24"/>
        </w:rPr>
        <w:t>All Northwest Pipeline Shippers</w:t>
      </w:r>
    </w:p>
    <w:p>
      <w:pPr>
        <w:pStyle w:val="Normal"/>
        <w:rPr>
          <w:sz w:val="24"/>
        </w:rPr>
      </w:pPr>
      <w:r>
        <w:rPr>
          <w:sz w:val="24"/>
        </w:rPr>
      </w:r>
    </w:p>
    <w:p>
      <w:pPr>
        <w:pStyle w:val="Normal"/>
        <w:rPr>
          <w:sz w:val="24"/>
        </w:rPr>
      </w:pPr>
      <w:r>
        <w:rPr>
          <w:sz w:val="24"/>
        </w:rPr>
        <w:t>RE:</w:t>
        <w:tab/>
        <w:t>Open Season for expansion of the Kelso-Beaver Pipeline (the “KB Pipeline”)</w:t>
      </w:r>
    </w:p>
    <w:p>
      <w:pPr>
        <w:pStyle w:val="Normal"/>
        <w:rPr>
          <w:sz w:val="24"/>
        </w:rPr>
      </w:pPr>
      <w:r>
        <w:rPr>
          <w:sz w:val="24"/>
        </w:rPr>
      </w:r>
    </w:p>
    <w:p>
      <w:pPr>
        <w:pStyle w:val="Normal"/>
        <w:rPr>
          <w:sz w:val="24"/>
        </w:rPr>
      </w:pPr>
      <w:r>
        <w:rPr>
          <w:sz w:val="24"/>
        </w:rPr>
        <w:t>OPEN SEASON GUIDELINES</w:t>
      </w:r>
    </w:p>
    <w:p>
      <w:pPr>
        <w:pStyle w:val="Normal"/>
        <w:rPr>
          <w:sz w:val="24"/>
        </w:rPr>
      </w:pPr>
      <w:r>
        <w:rPr>
          <w:sz w:val="24"/>
        </w:rPr>
      </w:r>
    </w:p>
    <w:p>
      <w:pPr>
        <w:pStyle w:val="Normal"/>
        <w:rPr>
          <w:sz w:val="24"/>
        </w:rPr>
      </w:pPr>
      <w:r>
        <w:rPr>
          <w:sz w:val="24"/>
        </w:rPr>
        <w:t>SUBSCRIPTION PERIOD:</w:t>
      </w:r>
    </w:p>
    <w:p>
      <w:pPr>
        <w:pStyle w:val="Normal"/>
        <w:rPr/>
      </w:pPr>
      <w:r>
        <w:rPr>
          <w:sz w:val="24"/>
        </w:rPr>
        <w:t xml:space="preserve">The open season period for the KB Pipeline shall commence at </w:t>
      </w:r>
      <w:r>
        <w:rPr>
          <w:b/>
          <w:i/>
          <w:sz w:val="24"/>
        </w:rPr>
        <w:t>time</w:t>
      </w:r>
      <w:r>
        <w:rPr>
          <w:sz w:val="24"/>
        </w:rPr>
        <w:t xml:space="preserve"> PST December 3, 2001 and close </w:t>
      </w:r>
      <w:r>
        <w:rPr>
          <w:b/>
          <w:i/>
          <w:sz w:val="24"/>
        </w:rPr>
        <w:t>December 14, 2001 at 5:00 pm PST</w:t>
      </w:r>
      <w:r>
        <w:rPr>
          <w:sz w:val="24"/>
        </w:rPr>
        <w:t>.</w:t>
      </w:r>
    </w:p>
    <w:p>
      <w:pPr>
        <w:pStyle w:val="Normal"/>
        <w:rPr>
          <w:sz w:val="24"/>
        </w:rPr>
      </w:pPr>
      <w:r>
        <w:rPr>
          <w:sz w:val="24"/>
        </w:rPr>
      </w:r>
    </w:p>
    <w:p>
      <w:pPr>
        <w:pStyle w:val="BodyText"/>
        <w:rPr/>
      </w:pPr>
      <w:r>
        <w:rPr/>
        <w:t xml:space="preserve">Portland General Electric Company (“PGE”) must receive all completed Open Season Request Forms no later than </w:t>
      </w:r>
      <w:r>
        <w:rPr>
          <w:b/>
          <w:i/>
        </w:rPr>
        <w:t>December 14, 2001 at 5:00 pm PST</w:t>
      </w:r>
      <w:r>
        <w:rPr/>
        <w:t xml:space="preserve"> at the following address:</w:t>
      </w:r>
    </w:p>
    <w:p>
      <w:pPr>
        <w:pStyle w:val="BodyText"/>
        <w:rPr/>
      </w:pPr>
      <w:r>
        <w:rPr/>
      </w:r>
    </w:p>
    <w:p>
      <w:pPr>
        <w:pStyle w:val="BodyText"/>
        <w:rPr/>
      </w:pPr>
      <w:r>
        <w:rPr/>
        <w:t>Portland General Electric Company</w:t>
      </w:r>
    </w:p>
    <w:p>
      <w:pPr>
        <w:pStyle w:val="BodyText"/>
        <w:rPr/>
      </w:pPr>
      <w:r>
        <w:rPr/>
        <w:t>Attn: Kelley Marold 3WTC-BR06</w:t>
      </w:r>
    </w:p>
    <w:p>
      <w:pPr>
        <w:pStyle w:val="BodyText"/>
        <w:rPr/>
      </w:pPr>
      <w:r>
        <w:rPr/>
        <w:t>121 SW Salmon St</w:t>
      </w:r>
    </w:p>
    <w:p>
      <w:pPr>
        <w:pStyle w:val="BodyText"/>
        <w:rPr/>
      </w:pPr>
      <w:r>
        <w:rPr/>
        <w:t>Portland, OR 97204</w:t>
      </w:r>
    </w:p>
    <w:p>
      <w:pPr>
        <w:pStyle w:val="BodyText"/>
        <w:rPr/>
      </w:pPr>
      <w:r>
        <w:rPr/>
        <w:t>Telephone: (503) 464-7137</w:t>
      </w:r>
    </w:p>
    <w:p>
      <w:pPr>
        <w:pStyle w:val="BodyText"/>
        <w:rPr/>
      </w:pPr>
      <w:r>
        <w:rPr/>
        <w:t>Fax: (503) 464-2605</w:t>
      </w:r>
    </w:p>
    <w:p>
      <w:pPr>
        <w:pStyle w:val="BodyText"/>
        <w:rPr/>
      </w:pPr>
      <w:r>
        <w:rPr/>
        <w:t xml:space="preserve">Email: </w:t>
      </w:r>
      <w:hyperlink r:id="rId2">
        <w:r>
          <w:rPr>
            <w:rStyle w:val="Hyperlink"/>
          </w:rPr>
          <w:t>kelley_marold@pgn.com</w:t>
        </w:r>
      </w:hyperlink>
    </w:p>
    <w:p>
      <w:pPr>
        <w:pStyle w:val="BodyText"/>
        <w:rPr/>
      </w:pPr>
      <w:r>
        <w:rPr/>
      </w:r>
    </w:p>
    <w:p>
      <w:pPr>
        <w:pStyle w:val="BodyText"/>
        <w:rPr/>
      </w:pPr>
      <w:r>
        <w:rPr/>
        <w:t>To request a form, contact Kelley Marold at the phone number listed above.</w:t>
      </w:r>
    </w:p>
    <w:p>
      <w:pPr>
        <w:pStyle w:val="BodyText"/>
        <w:rPr/>
      </w:pPr>
      <w:r>
        <w:rPr/>
      </w:r>
    </w:p>
    <w:p>
      <w:pPr>
        <w:pStyle w:val="BodyText"/>
        <w:rPr/>
      </w:pPr>
      <w:r>
        <w:rPr/>
        <w:t>NON-BINDING NATURE:</w:t>
      </w:r>
    </w:p>
    <w:p>
      <w:pPr>
        <w:pStyle w:val="BodyText"/>
        <w:rPr/>
      </w:pPr>
      <w:r>
        <w:rPr/>
        <w:t>Participation in this open season shall be considered non-binding on both the participants and on PGE.  The purpose of the open season is to allow PGE to evaluate the market interest, economics and design parameters for the proposed KB Pipeline expansion.</w:t>
      </w:r>
    </w:p>
    <w:p>
      <w:pPr>
        <w:pStyle w:val="BodyText"/>
        <w:rPr/>
      </w:pPr>
      <w:r>
        <w:rPr/>
      </w:r>
    </w:p>
    <w:p>
      <w:pPr>
        <w:pStyle w:val="BodyText"/>
        <w:rPr/>
      </w:pPr>
      <w:r>
        <w:rPr/>
        <w:t xml:space="preserve">Based upon the results of the open season, PGE will determine whether to proceed with the expansion.  PGE may determine to proceed with the expansion </w:t>
      </w:r>
      <w:r>
        <w:rPr>
          <w:b/>
          <w:i/>
        </w:rPr>
        <w:t>based solely on the requests submitted in this open season</w:t>
      </w:r>
      <w:r>
        <w:rPr/>
        <w:t xml:space="preserve">.  In such case, PGE will proceed to enter into discussions with parties submitting requests for the purpose of executing binding precedent agreements.  Although the open season is non-binding, only those requests received during the open season period will be guaranteed consideration for service on the expansion.  </w:t>
      </w:r>
      <w:r>
        <w:rPr>
          <w:b/>
          <w:i/>
        </w:rPr>
        <w:t>In its sole discretion, PGE may consider requests received after the close of the open season</w:t>
      </w:r>
      <w:r>
        <w:rPr/>
        <w:t>.</w:t>
      </w:r>
    </w:p>
    <w:p>
      <w:pPr>
        <w:pStyle w:val="BodyText"/>
        <w:rPr/>
      </w:pPr>
      <w:r>
        <w:rPr/>
      </w:r>
    </w:p>
    <w:p>
      <w:pPr>
        <w:pStyle w:val="BodyText"/>
        <w:rPr/>
      </w:pPr>
      <w:r>
        <w:rPr/>
        <w:t>PROJECT SCOPE:</w:t>
      </w:r>
    </w:p>
    <w:p>
      <w:pPr>
        <w:pStyle w:val="BodyText"/>
        <w:rPr/>
      </w:pPr>
      <w:r>
        <w:rPr/>
        <w:t xml:space="preserve">This project involves expansion of the KB Pipeline to provide as much as an additional 200,000 dekatherms per day of deliverability from the interconnection of the pipeline with Northwest Pipeline Corporation in Kelso (Cowlitz County), Washington, to a delivery point at PGE's Beaver generating station in Columbia County, Oregon.  PGE will expand its capacity by adding compression as necessary to accommodate Shipper commitments.  PGE anticipates that this expansion could be in service by August 1, 2003.  </w:t>
      </w:r>
    </w:p>
    <w:p>
      <w:pPr>
        <w:pStyle w:val="BodyText"/>
        <w:rPr/>
      </w:pPr>
      <w:r>
        <w:rPr/>
      </w:r>
    </w:p>
    <w:p>
      <w:pPr>
        <w:pStyle w:val="BodyText"/>
        <w:rPr>
          <w:b/>
          <w:i/>
          <w:i/>
        </w:rPr>
      </w:pPr>
      <w:r>
        <w:rPr>
          <w:b/>
          <w:i/>
        </w:rPr>
        <w:t>Shippers should communicate specific needs for earlier or later service on the Open Season Request Form.  PGE will try to accommodate such requests with the possibility of phased construction, if feasible.</w:t>
      </w:r>
    </w:p>
    <w:p>
      <w:pPr>
        <w:pStyle w:val="BodyText"/>
        <w:rPr/>
      </w:pPr>
      <w:r>
        <w:rPr/>
      </w:r>
    </w:p>
    <w:p>
      <w:pPr>
        <w:pStyle w:val="BodyText"/>
        <w:rPr/>
      </w:pPr>
      <w:r>
        <w:rPr/>
        <w:t>PGE reserves the right, in its sole discretion, to limit the scope of this expansion in order to render the overall expansion, or any portion thereof economic.</w:t>
      </w:r>
    </w:p>
    <w:p>
      <w:pPr>
        <w:pStyle w:val="BodyText"/>
        <w:rPr/>
      </w:pPr>
      <w:r>
        <w:rPr/>
      </w:r>
    </w:p>
    <w:p>
      <w:pPr>
        <w:pStyle w:val="BodyText"/>
        <w:rPr/>
      </w:pPr>
      <w:r>
        <w:rPr/>
        <w:t>RATES:</w:t>
      </w:r>
    </w:p>
    <w:p>
      <w:pPr>
        <w:pStyle w:val="BodyText"/>
        <w:rPr/>
      </w:pPr>
      <w:r>
        <w:rPr/>
        <w:t xml:space="preserve">PGE plans to discuss and mutually agree upon rates as part of the precedent agreement negotiations to be held with parties participating in this non-binding open season.  </w:t>
      </w:r>
      <w:r>
        <w:rPr>
          <w:b/>
          <w:i/>
        </w:rPr>
        <w:t>PGE will not consider proposals with pricing less than its maximum tariff rates for transportation</w:t>
      </w:r>
      <w:r>
        <w:rPr/>
        <w:t xml:space="preserve">.  </w:t>
      </w:r>
    </w:p>
    <w:p>
      <w:pPr>
        <w:pStyle w:val="BodyText"/>
        <w:rPr/>
      </w:pPr>
      <w:r>
        <w:rPr/>
      </w:r>
    </w:p>
    <w:p>
      <w:pPr>
        <w:pStyle w:val="BodyText"/>
        <w:rPr/>
      </w:pPr>
      <w:r>
        <w:rPr/>
        <w:t>CONTRACT TERM:</w:t>
      </w:r>
    </w:p>
    <w:p>
      <w:pPr>
        <w:pStyle w:val="BodyText"/>
        <w:rPr/>
      </w:pPr>
      <w:r>
        <w:rPr/>
        <w:t xml:space="preserve">Since the expansion will involve capital expenditures and the construction of facilities by PGE, requests for transportation must be a minimum of </w:t>
      </w:r>
      <w:r>
        <w:rPr>
          <w:b/>
          <w:i/>
        </w:rPr>
        <w:t>ten (10) years and cannot exceed the maximum term of twenty (20) years.</w:t>
      </w:r>
      <w:r>
        <w:rPr/>
        <w:t xml:space="preserve">  Service requests must be made for periods of whole years only.  </w:t>
      </w:r>
    </w:p>
    <w:p>
      <w:pPr>
        <w:pStyle w:val="BodyText"/>
        <w:rPr/>
      </w:pPr>
      <w:r>
        <w:rPr/>
      </w:r>
    </w:p>
    <w:p>
      <w:pPr>
        <w:pStyle w:val="BodyText"/>
        <w:rPr/>
      </w:pPr>
      <w:r>
        <w:rPr/>
        <w:t>SERVICE REQUEST PROCESS:</w:t>
      </w:r>
    </w:p>
    <w:p>
      <w:pPr>
        <w:pStyle w:val="BodyText"/>
        <w:rPr/>
      </w:pPr>
      <w:r>
        <w:rPr/>
        <w:t xml:space="preserve">Completed Open Season Request Forms must be received by PGE by </w:t>
      </w:r>
      <w:r>
        <w:rPr>
          <w:b/>
          <w:i/>
        </w:rPr>
        <w:t>5:00 pm PST December 14, 2001.</w:t>
      </w:r>
      <w:r>
        <w:rPr/>
        <w:t xml:space="preserve">  Forms must be submitted by facsimile, and all original documents must be received by PGE within three business days following the facsimile submission.  PGE will acknowledge receipt of all requests.  PGE’s review will be performed as quickly as possible in light of the fact that this is an expansion project.  PGE reserves the right to reject any request which is not complete, which contains modifications to the terms of the Request Form, which conflicts with PGE’s tariff or which is outside the scope of this expansion, as determined by PGE in PGE’s sole discretion.  Further, PGE will not accept requests with deviations in montly MDQs.  This open season is subject to PGE’s tariff and to all applicable laws, orders, rules and regulations of authorities having jurisdiction.</w:t>
      </w:r>
    </w:p>
    <w:p>
      <w:pPr>
        <w:pStyle w:val="BodyText"/>
        <w:rPr/>
      </w:pPr>
      <w:r>
        <w:rPr/>
      </w:r>
    </w:p>
    <w:p>
      <w:pPr>
        <w:pStyle w:val="BodyText"/>
        <w:rPr/>
      </w:pPr>
      <w:r>
        <w:rPr/>
        <w:t xml:space="preserve">In order to complete the execution of a binding precedent agreement, shippers must meet certain minimum financial criteria.  Ratings of shipper’s long term bonds or commercial paper by major rating agencies will be considered, as will financial statements, bank references, guarantees, letters of credit, or other demonstrations of financial strength which are satisfactory to PGE.  PGE reserves the right to request additional credit information. </w:t>
      </w:r>
    </w:p>
    <w:p>
      <w:pPr>
        <w:pStyle w:val="BodyText"/>
        <w:rPr/>
      </w:pPr>
      <w:r>
        <w:rPr/>
      </w:r>
      <w:r>
        <w:br w:type="page"/>
      </w:r>
    </w:p>
    <w:p>
      <w:pPr>
        <w:pStyle w:val="BodyText"/>
        <w:rPr/>
      </w:pPr>
      <w:r>
        <w:rPr/>
        <w:t>PGE KB PIPELINE EXPANSION OPEN SEASON REQUEST FORM</w:t>
      </w:r>
    </w:p>
    <w:p>
      <w:pPr>
        <w:pStyle w:val="BodyText"/>
        <w:rPr/>
      </w:pPr>
      <w:r>
        <w:rPr/>
      </w:r>
    </w:p>
    <w:p>
      <w:pPr>
        <w:pStyle w:val="BodyText"/>
        <w:rPr/>
      </w:pPr>
      <w:r>
        <w:rPr/>
        <w:t>Form should be faxed and then mailed to:</w:t>
      </w:r>
    </w:p>
    <w:p>
      <w:pPr>
        <w:pStyle w:val="BodyText"/>
        <w:rPr/>
      </w:pPr>
      <w:r>
        <w:rPr/>
      </w:r>
    </w:p>
    <w:p>
      <w:pPr>
        <w:pStyle w:val="BodyText"/>
        <w:rPr/>
      </w:pPr>
      <w:r>
        <w:rPr/>
        <w:t>Portland General Electric Company</w:t>
      </w:r>
    </w:p>
    <w:p>
      <w:pPr>
        <w:pStyle w:val="BodyText"/>
        <w:rPr/>
      </w:pPr>
      <w:r>
        <w:rPr/>
        <w:t>Attn: Kelley Marold 3WTC-BR06</w:t>
      </w:r>
    </w:p>
    <w:p>
      <w:pPr>
        <w:pStyle w:val="BodyText"/>
        <w:rPr/>
      </w:pPr>
      <w:r>
        <w:rPr/>
        <w:t>121 SW Salmon St</w:t>
      </w:r>
    </w:p>
    <w:p>
      <w:pPr>
        <w:pStyle w:val="BodyText"/>
        <w:rPr/>
      </w:pPr>
      <w:r>
        <w:rPr/>
        <w:t>Portland, OR 97204</w:t>
      </w:r>
    </w:p>
    <w:p>
      <w:pPr>
        <w:pStyle w:val="BodyText"/>
        <w:rPr/>
      </w:pPr>
      <w:r>
        <w:rPr/>
        <w:t>Fax: (503) 464-2605</w:t>
      </w:r>
    </w:p>
    <w:p>
      <w:pPr>
        <w:pStyle w:val="BodyText"/>
        <w:rPr/>
      </w:pPr>
      <w:r>
        <w:rPr/>
      </w:r>
    </w:p>
    <w:p>
      <w:pPr>
        <w:pStyle w:val="BodyText"/>
        <w:rPr/>
      </w:pPr>
      <w:r>
        <w:rPr/>
        <w:t>CUSTOMER INFORMATION:</w:t>
      </w:r>
    </w:p>
    <w:p>
      <w:pPr>
        <w:pStyle w:val="BodyText"/>
        <w:rPr/>
      </w:pPr>
      <w:r>
        <w:rPr/>
      </w:r>
    </w:p>
    <w:p>
      <w:pPr>
        <w:pStyle w:val="BodyText"/>
        <w:rPr/>
      </w:pPr>
      <w:r>
        <w:rPr/>
        <w:t>Customer Name:</w:t>
        <w:tab/>
      </w:r>
    </w:p>
    <w:p>
      <w:pPr>
        <w:pStyle w:val="BodyText"/>
        <w:rPr/>
      </w:pPr>
      <w:r>
        <w:rPr/>
      </w:r>
    </w:p>
    <w:p>
      <w:pPr>
        <w:pStyle w:val="BodyText"/>
        <w:rPr/>
      </w:pPr>
      <w:r>
        <w:rPr/>
        <w:t>Customer Address:</w:t>
      </w:r>
    </w:p>
    <w:p>
      <w:pPr>
        <w:pStyle w:val="BodyText"/>
        <w:rPr/>
      </w:pPr>
      <w:r>
        <w:rPr/>
      </w:r>
    </w:p>
    <w:p>
      <w:pPr>
        <w:pStyle w:val="BodyText"/>
        <w:rPr/>
      </w:pPr>
      <w:r>
        <w:rPr/>
        <w:t>Customer Contact:</w:t>
      </w:r>
    </w:p>
    <w:p>
      <w:pPr>
        <w:pStyle w:val="BodyText"/>
        <w:rPr/>
      </w:pPr>
      <w:r>
        <w:rPr/>
        <w:t>Title:</w:t>
        <w:tab/>
      </w:r>
    </w:p>
    <w:p>
      <w:pPr>
        <w:pStyle w:val="BodyText"/>
        <w:rPr/>
      </w:pPr>
      <w:r>
        <w:rPr/>
        <w:t>Telephone:</w:t>
        <w:tab/>
      </w:r>
    </w:p>
    <w:p>
      <w:pPr>
        <w:pStyle w:val="BodyText"/>
        <w:rPr/>
      </w:pPr>
      <w:r>
        <w:rPr/>
        <w:t>Fax:</w:t>
        <w:tab/>
      </w:r>
    </w:p>
    <w:p>
      <w:pPr>
        <w:pStyle w:val="BodyText"/>
        <w:rPr/>
      </w:pPr>
      <w:r>
        <w:rPr/>
      </w:r>
    </w:p>
    <w:p>
      <w:pPr>
        <w:pStyle w:val="BodyText"/>
        <w:rPr/>
      </w:pPr>
      <w:r>
        <w:rPr/>
        <w:t>Customer Type:  (Circle One)</w:t>
      </w:r>
    </w:p>
    <w:p>
      <w:pPr>
        <w:pStyle w:val="BodyText"/>
        <w:rPr/>
      </w:pPr>
      <w:r>
        <w:rPr/>
      </w:r>
    </w:p>
    <w:p>
      <w:pPr>
        <w:pStyle w:val="BodyText"/>
        <w:tabs>
          <w:tab w:val="clear" w:pos="720"/>
          <w:tab w:val="left" w:pos="1440" w:leader="none"/>
          <w:tab w:val="left" w:pos="2160" w:leader="none"/>
          <w:tab w:val="left" w:pos="3240" w:leader="none"/>
          <w:tab w:val="left" w:pos="4140" w:leader="none"/>
        </w:tabs>
        <w:rPr/>
      </w:pPr>
      <w:r>
        <w:rPr/>
        <w:t>LDC</w:t>
        <w:tab/>
        <w:t>/</w:t>
        <w:tab/>
        <w:t>Producer</w:t>
        <w:tab/>
        <w:t>/</w:t>
        <w:tab/>
        <w:t>Marketer</w:t>
      </w:r>
    </w:p>
    <w:p>
      <w:pPr>
        <w:pStyle w:val="BodyText"/>
        <w:rPr/>
      </w:pPr>
      <w:r>
        <w:rPr/>
      </w:r>
    </w:p>
    <w:p>
      <w:pPr>
        <w:pStyle w:val="BodyText"/>
        <w:tabs>
          <w:tab w:val="clear" w:pos="720"/>
          <w:tab w:val="left" w:pos="1440" w:leader="none"/>
          <w:tab w:val="left" w:pos="2160" w:leader="none"/>
          <w:tab w:val="left" w:pos="3240" w:leader="none"/>
          <w:tab w:val="left" w:pos="4140" w:leader="none"/>
        </w:tabs>
        <w:rPr/>
      </w:pPr>
      <w:r>
        <w:rPr/>
        <w:t>Aggregator</w:t>
        <w:tab/>
        <w:t>/</w:t>
        <w:tab/>
        <w:t>Broker</w:t>
        <w:tab/>
        <w:t>/</w:t>
        <w:tab/>
        <w:t>End User</w:t>
      </w:r>
    </w:p>
    <w:p>
      <w:pPr>
        <w:pStyle w:val="BodyText"/>
        <w:rPr/>
      </w:pPr>
      <w:r>
        <w:rPr/>
      </w:r>
    </w:p>
    <w:p>
      <w:pPr>
        <w:pStyle w:val="BodyText"/>
        <w:rPr/>
      </w:pPr>
      <w:r>
        <w:rPr/>
        <w:t>Other (describe)</w:t>
      </w:r>
    </w:p>
    <w:p>
      <w:pPr>
        <w:pStyle w:val="BodyText"/>
        <w:rPr/>
      </w:pPr>
      <w:r>
        <w:rPr/>
      </w:r>
    </w:p>
    <w:p>
      <w:pPr>
        <w:pStyle w:val="BodyText"/>
        <w:rPr/>
      </w:pPr>
      <w:r>
        <w:rPr/>
        <w:t>________________________</w:t>
      </w:r>
    </w:p>
    <w:p>
      <w:pPr>
        <w:pStyle w:val="BodyText"/>
        <w:rPr/>
      </w:pPr>
      <w:r>
        <w:rPr/>
      </w:r>
    </w:p>
    <w:p>
      <w:pPr>
        <w:pStyle w:val="BodyText"/>
        <w:rPr/>
      </w:pPr>
      <w:r>
        <w:rPr/>
        <w:t>SERVICE INFORMATION:</w:t>
      </w:r>
    </w:p>
    <w:p>
      <w:pPr>
        <w:pStyle w:val="BodyText"/>
        <w:rPr/>
      </w:pPr>
      <w:r>
        <w:rPr/>
      </w:r>
    </w:p>
    <w:p>
      <w:pPr>
        <w:pStyle w:val="BodyText"/>
        <w:rPr/>
      </w:pPr>
      <w:r>
        <w:rPr/>
        <w:t>Term of contract:  _______ years</w:t>
      </w:r>
    </w:p>
    <w:p>
      <w:pPr>
        <w:pStyle w:val="BodyText"/>
        <w:rPr/>
      </w:pPr>
      <w:r>
        <w:rPr/>
      </w:r>
    </w:p>
    <w:p>
      <w:pPr>
        <w:pStyle w:val="BodyText"/>
        <w:ind w:hanging="720" w:start="720" w:end="0"/>
        <w:rPr/>
      </w:pPr>
      <w:r>
        <w:rPr/>
        <w:tab/>
        <w:t>A minimum of ten years is required.  The maximum term is twenty years.  Term should be specified in full years.</w:t>
      </w:r>
    </w:p>
    <w:p>
      <w:pPr>
        <w:pStyle w:val="BodyText"/>
        <w:ind w:hanging="720" w:start="720" w:end="0"/>
        <w:rPr/>
      </w:pPr>
      <w:r>
        <w:rPr/>
      </w:r>
    </w:p>
    <w:p>
      <w:pPr>
        <w:pStyle w:val="BodyText"/>
        <w:ind w:hanging="720" w:start="720" w:end="0"/>
        <w:rPr/>
      </w:pPr>
      <w:r>
        <w:rPr/>
        <w:t>Commencement Date:  _________________</w:t>
      </w:r>
    </w:p>
    <w:p>
      <w:pPr>
        <w:pStyle w:val="BodyText"/>
        <w:ind w:hanging="720" w:start="720" w:end="0"/>
        <w:rPr/>
      </w:pPr>
      <w:r>
        <w:rPr/>
      </w:r>
    </w:p>
    <w:p>
      <w:pPr>
        <w:pStyle w:val="BodyText"/>
        <w:ind w:hanging="720" w:start="720" w:end="0"/>
        <w:rPr/>
      </w:pPr>
      <w:r>
        <w:rPr/>
        <w:t>Maximum Daily Quantity:  _______________ Dth/d, exclusive of fuel.</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1" allowOverlap="1" relativeHeight="4">
              <wp:simplePos x="0" y="0"/>
              <wp:positionH relativeFrom="column">
                <wp:posOffset>3973195</wp:posOffset>
              </wp:positionH>
              <wp:positionV relativeFrom="paragraph">
                <wp:posOffset>-407035</wp:posOffset>
              </wp:positionV>
              <wp:extent cx="2294890" cy="831850"/>
              <wp:effectExtent l="0" t="0" r="0" b="0"/>
              <wp:wrapNone/>
              <wp:docPr id="1" name="Frame1"/>
              <a:graphic xmlns:a="http://schemas.openxmlformats.org/drawingml/2006/main">
                <a:graphicData uri="http://schemas.microsoft.com/office/word/2010/wordprocessingShape">
                  <wps:wsp>
                    <wps:cNvSpPr txBox="1"/>
                    <wps:spPr>
                      <a:xfrm>
                        <a:off x="0" y="0"/>
                        <a:ext cx="2294890" cy="831850"/>
                      </a:xfrm>
                      <a:prstGeom prst="rect"/>
                      <a:solidFill>
                        <a:srgbClr val="FFFFFF">
                          <a:alpha val="50000"/>
                        </a:srgbClr>
                      </a:solidFill>
                      <a:ln w="9525">
                        <a:solidFill>
                          <a:srgbClr val="000000"/>
                        </a:solidFill>
                      </a:ln>
                    </wps:spPr>
                    <wps:txbx>
                      <w:txbxContent>
                        <w:p>
                          <w:pPr>
                            <w:pStyle w:val="BodyText2"/>
                            <w:rPr>
                              <w:sz w:val="96"/>
                            </w:rPr>
                          </w:pPr>
                          <w:r>
                            <w:rPr>
                              <w:sz w:val="96"/>
                            </w:rPr>
                            <w:t>DRAFT</w:t>
                          </w:r>
                        </w:p>
                      </w:txbxContent>
                    </wps:txbx>
                    <wps:bodyPr anchor="t" lIns="91440" tIns="45720" rIns="91440" bIns="45720">
                      <a:noAutofit/>
                    </wps:bodyPr>
                  </wps:wsp>
                </a:graphicData>
              </a:graphic>
            </wp:anchor>
          </w:drawing>
        </mc:Choice>
        <mc:Fallback>
          <w:pict>
            <v:rect fillcolor="#FFFFFF" strokecolor="#000000" strokeweight="0pt" style="position:absolute;rotation:-0;width:180.7pt;height:65.5pt;mso-wrap-distance-left:9.05pt;mso-wrap-distance-right:9.05pt;mso-wrap-distance-top:0pt;mso-wrap-distance-bottom:0pt;margin-top:-32.05pt;mso-position-vertical-relative:text;margin-left:312.85pt;mso-position-horizontal-relative:text">
              <v:fill opacity="32767.5f"/>
              <v:textbox>
                <w:txbxContent>
                  <w:p>
                    <w:pPr>
                      <w:pStyle w:val="BodyText2"/>
                      <w:rPr>
                        <w:sz w:val="96"/>
                      </w:rPr>
                    </w:pPr>
                    <w:r>
                      <w:rPr>
                        <w:sz w:val="96"/>
                      </w:rPr>
                      <w:t>DRAFT</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rFonts w:ascii="Comic Sans MS" w:hAnsi="Comic Sans MS" w:cs="Comic Sans MS"/>
      <w:sz w:val="5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elley_marold@pg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2001-11-01T16:38:00Z</dcterms:created>
  <dc:creator>kelley marold</dc:creator>
  <dc:description/>
  <dc:language>en-CA</dc:language>
  <cp:lastModifiedBy>kelley marold</cp:lastModifiedBy>
  <dcterms:modified xsi:type="dcterms:W3CDTF">2001-11-01T18:02:00Z</dcterms:modified>
  <cp:revision>8</cp:revision>
  <dc:subject/>
  <dc:title>Portland General Electric Company – Notice</dc:title>
</cp:coreProperties>
</file>