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Notes and Issues</w:t>
      </w:r>
    </w:p>
    <w:p>
      <w:pPr>
        <w:pStyle w:val="Title"/>
        <w:rPr/>
      </w:pPr>
      <w:r>
        <w:rPr/>
        <w:t>to Agreement</w:t>
      </w:r>
    </w:p>
    <w:p>
      <w:pPr>
        <w:pStyle w:val="BodyText"/>
        <w:rPr/>
      </w:pPr>
      <w:r>
        <w:rPr/>
      </w:r>
    </w:p>
    <w:p>
      <w:pPr>
        <w:pStyle w:val="BodyText"/>
        <w:rPr>
          <w:vanish/>
        </w:rPr>
      </w:pPr>
      <w:r>
        <w:rPr/>
        <w:t>1.38</w:t>
        <w:tab/>
      </w:r>
      <w:r>
        <w:rPr>
          <w:u w:val="single"/>
        </w:rPr>
        <w:t>Facility Specific Performance Levels</w:t>
      </w:r>
      <w:commentRangeStart w:id="0"/>
      <w:r>
        <w:rPr>
          <w:vanish/>
          <w:color w:val="FF0000"/>
        </w:rPr>
        <w:t>»</w:t>
      </w:r>
      <w:commentRangeEnd w:id="0"/>
      <w:r>
        <w:commentReference w:id="0"/>
      </w:r>
      <w:r>
        <w:rPr>
          <w:vanish w:val="false"/>
        </w:rPr>
      </w:r>
    </w:p>
    <w:p>
      <w:pPr>
        <w:pStyle w:val="BodyText"/>
        <w:rPr/>
      </w:pPr>
      <w:r>
        <w:rPr/>
        <w:t>.  Shall mean the Electrical Output, Heat Rate and Emissions Levels specified in Exhibit U for Unit operation utilizing the liquid fuel specified in Exhibit A-1.</w:t>
      </w:r>
    </w:p>
    <w:p>
      <w:pPr>
        <w:pStyle w:val="note"/>
        <w:rPr/>
      </w:pPr>
      <w:r>
        <w:rPr>
          <w:u w:val="single"/>
        </w:rPr>
        <w:t>ISSUE</w:t>
      </w:r>
      <w:r>
        <w:rPr/>
        <w:t>:</w:t>
        <w:tab/>
        <w:t>Does this also include combined cycle levels.</w:t>
      </w:r>
    </w:p>
    <w:p>
      <w:pPr>
        <w:pStyle w:val="note"/>
        <w:rPr/>
      </w:pPr>
      <w:r>
        <w:rPr/>
      </w:r>
    </w:p>
    <w:p>
      <w:pPr>
        <w:pStyle w:val="BodyText"/>
        <w:rPr>
          <w:vanish/>
        </w:rPr>
      </w:pPr>
      <w:r>
        <w:rPr/>
        <w:t>2.1</w:t>
        <w:tab/>
      </w:r>
      <w:r>
        <w:rPr>
          <w:u w:val="single"/>
        </w:rPr>
        <w:t>Purchaser and Agent  Responsibilities</w:t>
      </w:r>
      <w:commentRangeStart w:id="1"/>
      <w:r>
        <w:rPr>
          <w:vanish/>
          <w:color w:val="FF0000"/>
        </w:rPr>
        <w:t>»</w:t>
      </w:r>
      <w:commentRangeEnd w:id="1"/>
      <w:r>
        <w:commentReference w:id="1"/>
      </w:r>
      <w:r>
        <w:rPr>
          <w:vanish w:val="false"/>
        </w:rPr>
      </w:r>
    </w:p>
    <w:p>
      <w:pPr>
        <w:pStyle w:val="BodyText"/>
        <w:rPr/>
      </w:pPr>
      <w:r>
        <w:rPr/>
        <w:t>.</w:t>
      </w:r>
    </w:p>
    <w:p>
      <w:pPr>
        <w:pStyle w:val="note"/>
        <w:rPr/>
      </w:pPr>
      <w:r>
        <w:rPr>
          <w:u w:val="single"/>
        </w:rPr>
        <w:t>ISSUE</w:t>
      </w:r>
      <w:r>
        <w:rPr/>
        <w:t>:</w:t>
        <w:tab/>
        <w:t>Exhibit B-1 is blank. Was this an attached GE document.</w:t>
      </w:r>
    </w:p>
    <w:p>
      <w:pPr>
        <w:pStyle w:val="BodyText"/>
        <w:rPr/>
      </w:pPr>
      <w:r>
        <w:rPr/>
      </w:r>
    </w:p>
    <w:p>
      <w:pPr>
        <w:pStyle w:val="BodyText"/>
        <w:rPr/>
      </w:pPr>
      <w:r>
        <w:rPr/>
        <w:t>3.8(c)(i)(2)</w:t>
        <w:tab/>
      </w:r>
      <w:bookmarkStart w:id="0" w:name="_Ref486647132"/>
      <w:bookmarkStart w:id="1" w:name="_Ref486646836"/>
      <w:bookmarkStart w:id="2" w:name="_Ref486410490"/>
      <w:bookmarkStart w:id="3" w:name="_Ref486409793"/>
      <w:bookmarkStart w:id="4" w:name="_Ref486409603"/>
      <w:bookmarkStart w:id="5" w:name="_Ref486409561"/>
      <w:bookmarkStart w:id="6" w:name="_Ref486409529"/>
      <w:bookmarkStart w:id="7" w:name="_Ref486409490"/>
      <w:r>
        <w:rPr>
          <w:u w:val="single"/>
        </w:rPr>
        <w:t>Compliance with Governmental Rules</w:t>
      </w:r>
      <w:bookmarkEnd w:id="0"/>
      <w:bookmarkEnd w:id="1"/>
      <w:bookmarkEnd w:id="2"/>
      <w:bookmarkEnd w:id="3"/>
      <w:bookmarkEnd w:id="4"/>
      <w:bookmarkEnd w:id="5"/>
      <w:bookmarkEnd w:id="6"/>
      <w:bookmarkEnd w:id="7"/>
    </w:p>
    <w:p>
      <w:pPr>
        <w:pStyle w:val="note"/>
        <w:rPr/>
      </w:pPr>
      <w:r>
        <w:rPr>
          <w:u w:val="single"/>
        </w:rPr>
        <w:t>ISSUE</w:t>
      </w:r>
      <w:r>
        <w:rPr/>
        <w:t>:</w:t>
        <w:tab/>
        <w:t>Was the WestLB contract signed 5/12, that is its Effective Date. If not, why use different dates for §3.8(c)(i)(1) and (2).</w:t>
      </w:r>
    </w:p>
    <w:p>
      <w:pPr>
        <w:pStyle w:val="BodyText"/>
        <w:rPr/>
      </w:pPr>
      <w:r>
        <w:rPr/>
        <w:t>3.8(c)(iv)</w:t>
      </w:r>
    </w:p>
    <w:p>
      <w:pPr>
        <w:pStyle w:val="note"/>
        <w:rPr/>
      </w:pPr>
      <w:r>
        <w:rPr>
          <w:u w:val="single"/>
        </w:rPr>
        <w:t>ISSUE</w:t>
      </w:r>
      <w:r>
        <w:rPr/>
        <w:t>:</w:t>
        <w:tab/>
        <w:t>Need to discuss interplay of §3.8(c)(i) and (iv) with 10/21/99 date in “Change in Law” definition.</w:t>
      </w:r>
    </w:p>
    <w:p>
      <w:pPr>
        <w:pStyle w:val="BodyText"/>
        <w:rPr/>
      </w:pPr>
      <w:r>
        <w:rPr/>
      </w:r>
    </w:p>
    <w:p>
      <w:pPr>
        <w:pStyle w:val="BodyText"/>
        <w:rPr/>
      </w:pPr>
      <w:r>
        <w:rPr/>
        <w:t>3.13</w:t>
        <w:tab/>
      </w:r>
      <w:r>
        <w:rPr>
          <w:u w:val="single"/>
        </w:rPr>
        <w:t>Order Definition Meeting</w:t>
      </w:r>
    </w:p>
    <w:p>
      <w:pPr>
        <w:pStyle w:val="note"/>
        <w:rPr/>
      </w:pPr>
      <w:r>
        <w:rPr>
          <w:u w:val="single"/>
        </w:rPr>
        <w:t>ISSUE</w:t>
      </w:r>
      <w:r>
        <w:rPr/>
        <w:t>:</w:t>
        <w:tab/>
        <w:t>Is there just one ODM under the Westdeutsche Agreement, or one for each Facility.</w:t>
      </w:r>
    </w:p>
    <w:p>
      <w:pPr>
        <w:pStyle w:val="BodyText"/>
        <w:rPr/>
      </w:pPr>
      <w:r>
        <w:rPr/>
        <w:t>3.14</w:t>
        <w:tab/>
      </w:r>
      <w:r>
        <w:rPr>
          <w:u w:val="single"/>
        </w:rPr>
        <w:t>Not Used.</w:t>
      </w:r>
    </w:p>
    <w:p>
      <w:pPr>
        <w:pStyle w:val="note"/>
        <w:rPr/>
      </w:pPr>
      <w:r>
        <w:rPr>
          <w:u w:val="single"/>
        </w:rPr>
        <w:t>ISSUE</w:t>
      </w:r>
      <w:r>
        <w:rPr/>
        <w:t>:</w:t>
        <w:tab/>
        <w:t>How are spare parts to be handled in the Facility Agreement. Are they purchased from WestLB or directly from GE.</w:t>
      </w:r>
    </w:p>
    <w:p>
      <w:pPr>
        <w:pStyle w:val="BodyText"/>
        <w:rPr/>
      </w:pPr>
      <w:r>
        <w:rPr/>
      </w:r>
    </w:p>
    <w:p>
      <w:pPr>
        <w:pStyle w:val="BodyText"/>
        <w:rPr/>
      </w:pPr>
      <w:r>
        <w:rPr/>
        <w:t>5.4.1</w:t>
        <w:tab/>
      </w:r>
      <w:bookmarkStart w:id="8" w:name="_Ref486409953"/>
      <w:bookmarkStart w:id="9" w:name="_Ref486409935"/>
      <w:bookmarkStart w:id="10" w:name="_Ref486405467"/>
      <w:r>
        <w:rPr>
          <w:u w:val="single"/>
        </w:rPr>
        <w:t>Cancellation by Purchaser</w:t>
      </w:r>
      <w:bookmarkEnd w:id="8"/>
      <w:bookmarkEnd w:id="9"/>
      <w:bookmarkEnd w:id="10"/>
      <w:r>
        <w:rPr/>
        <w:t>.</w:t>
      </w:r>
    </w:p>
    <w:p>
      <w:pPr>
        <w:pStyle w:val="note"/>
        <w:rPr/>
      </w:pPr>
      <w:r>
        <w:rPr>
          <w:u w:val="single"/>
        </w:rPr>
        <w:t>ISSUE</w:t>
      </w:r>
      <w:r>
        <w:rPr/>
        <w:t>:</w:t>
        <w:tab/>
        <w:t>How is the Purchase Amount adjusted by partial cancellation. Should the Purchase Amount be reduced only by the net loss to Seller. If deduct the full Unit Purchase Price, the LD caps are affected more.</w:t>
      </w:r>
    </w:p>
    <w:p>
      <w:pPr>
        <w:pStyle w:val="BodyText"/>
        <w:rPr/>
      </w:pPr>
      <w:r>
        <w:rPr/>
      </w:r>
    </w:p>
    <w:p>
      <w:pPr>
        <w:pStyle w:val="BodyText"/>
        <w:keepNext w:val="true"/>
        <w:keepLines/>
        <w:rPr/>
      </w:pPr>
      <w:r>
        <w:rPr/>
        <w:t>6.1.2</w:t>
        <w:tab/>
      </w:r>
      <w:bookmarkStart w:id="11" w:name="_Ref486647575"/>
      <w:bookmarkStart w:id="12" w:name="_Ref486410251"/>
      <w:bookmarkStart w:id="13" w:name="_Ref486410191"/>
      <w:bookmarkStart w:id="14" w:name="_Ref486410148"/>
      <w:bookmarkStart w:id="15" w:name="_Ref486410131"/>
      <w:bookmarkStart w:id="16" w:name="_Ref486408929"/>
      <w:bookmarkStart w:id="17" w:name="_Ref486406097"/>
      <w:r>
        <w:rPr>
          <w:u w:val="single"/>
        </w:rPr>
        <w:t>Payment Milestones</w:t>
      </w:r>
      <w:bookmarkEnd w:id="11"/>
      <w:bookmarkEnd w:id="12"/>
      <w:bookmarkEnd w:id="13"/>
      <w:bookmarkEnd w:id="14"/>
      <w:bookmarkEnd w:id="15"/>
      <w:bookmarkEnd w:id="16"/>
      <w:bookmarkEnd w:id="17"/>
    </w:p>
    <w:p>
      <w:pPr>
        <w:pStyle w:val="note"/>
        <w:keepNext w:val="true"/>
        <w:keepLines/>
        <w:ind w:hanging="994" w:start="994" w:end="0"/>
        <w:rPr/>
      </w:pPr>
      <w:r>
        <w:rPr>
          <w:u w:val="single"/>
        </w:rPr>
        <w:t>NOTE</w:t>
      </w:r>
      <w:r>
        <w:rPr/>
        <w:t>:  Table to be revised as appropriate for each Facility Agreement.  Milestone payments already paid by Westdeutsche should be marked as “Paid” in the chart.</w:t>
      </w:r>
    </w:p>
    <w:p>
      <w:pPr>
        <w:pStyle w:val="note"/>
        <w:rPr/>
      </w:pPr>
      <w:r>
        <w:rPr>
          <w:u w:val="single"/>
        </w:rPr>
        <w:t>ISSUE</w:t>
      </w:r>
      <w:r>
        <w:rPr/>
        <w:t>:</w:t>
        <w:tab/>
        <w:t xml:space="preserve">No Note 1 exists. </w:t>
      </w:r>
      <w:r>
        <w:rPr>
          <w:u w:val="single"/>
        </w:rPr>
        <w:t>See</w:t>
      </w:r>
      <w:r>
        <w:rPr/>
        <w:t xml:space="preserve"> chart heading for column titled “Payment Date.”</w:t>
      </w:r>
    </w:p>
    <w:p>
      <w:pPr>
        <w:pStyle w:val="BodyText"/>
        <w:rPr/>
      </w:pPr>
      <w:r>
        <w:rPr/>
      </w:r>
    </w:p>
    <w:p>
      <w:pPr>
        <w:pStyle w:val="BodyText"/>
        <w:rPr/>
      </w:pPr>
      <w:r>
        <w:rPr/>
        <w:t>6.1.3</w:t>
        <w:tab/>
      </w:r>
      <w:bookmarkStart w:id="18" w:name="_Ref486410169"/>
      <w:bookmarkStart w:id="19" w:name="_Ref486407669"/>
      <w:bookmarkStart w:id="20" w:name="_Ref486407668"/>
      <w:r>
        <w:rPr>
          <w:u w:val="single"/>
        </w:rPr>
        <w:t>Retention Letter(s) of Credit</w:t>
      </w:r>
      <w:bookmarkEnd w:id="18"/>
      <w:bookmarkEnd w:id="19"/>
      <w:bookmarkEnd w:id="20"/>
      <w:r>
        <w:rPr/>
        <w:t xml:space="preserve">. </w:t>
      </w:r>
    </w:p>
    <w:p>
      <w:pPr>
        <w:pStyle w:val="note"/>
        <w:rPr/>
      </w:pPr>
      <w:r>
        <w:rPr>
          <w:u w:val="single"/>
        </w:rPr>
        <w:t>ISSUE</w:t>
      </w:r>
      <w:r>
        <w:rPr/>
        <w:t>:</w:t>
        <w:tab/>
        <w:t>Does retainage get released on a Facility by Facility basis or only once the Primary Warranty Period for Unit 24 is over.</w:t>
      </w:r>
    </w:p>
    <w:p>
      <w:pPr>
        <w:pStyle w:val="note"/>
        <w:rPr/>
      </w:pPr>
      <w:r>
        <w:rPr>
          <w:u w:val="single"/>
        </w:rPr>
        <w:t>ISSUE</w:t>
      </w:r>
      <w:r>
        <w:rPr/>
        <w:t>:</w:t>
        <w:tab/>
        <w:t>Aren’t incremental reductions in LOC inconsistent with the concept of holding 5% of Purchase Price until the end of the Primary Warranty period for the “last Unit.”</w:t>
      </w:r>
    </w:p>
    <w:p>
      <w:pPr>
        <w:pStyle w:val="BodyText"/>
        <w:rPr/>
      </w:pPr>
      <w:r>
        <w:rPr/>
      </w:r>
    </w:p>
    <w:p>
      <w:pPr>
        <w:pStyle w:val="BodyText"/>
        <w:rPr/>
      </w:pPr>
      <w:r>
        <w:rPr/>
        <w:t>7.2.4</w:t>
        <w:tab/>
      </w:r>
      <w:bookmarkStart w:id="21" w:name="_Ref486406142"/>
      <w:r>
        <w:rPr>
          <w:u w:val="single"/>
        </w:rPr>
        <w:t>Commencement of the Work</w:t>
      </w:r>
      <w:bookmarkEnd w:id="21"/>
    </w:p>
    <w:p>
      <w:pPr>
        <w:pStyle w:val="note"/>
        <w:rPr/>
      </w:pPr>
      <w:r>
        <w:rPr>
          <w:u w:val="single"/>
        </w:rPr>
        <w:t>ISSUE</w:t>
      </w:r>
      <w:r>
        <w:rPr/>
        <w:t>: Who signed the Agreement in Principle, Enron or Westdeutsche.</w:t>
      </w:r>
    </w:p>
    <w:p>
      <w:pPr>
        <w:pStyle w:val="BodyText"/>
        <w:rPr/>
      </w:pPr>
      <w:r>
        <w:rPr/>
      </w:r>
    </w:p>
    <w:p>
      <w:pPr>
        <w:pStyle w:val="BodyText"/>
        <w:rPr/>
      </w:pPr>
      <w:r>
        <w:rPr/>
        <w:t>ARTICLE X. DELIVERY AND PERFORMANCE</w:t>
      </w:r>
    </w:p>
    <w:p>
      <w:pPr>
        <w:pStyle w:val="note"/>
        <w:rPr/>
      </w:pPr>
      <w:r>
        <w:rPr>
          <w:u w:val="single"/>
        </w:rPr>
        <w:t>ISSUE</w:t>
      </w:r>
      <w:r>
        <w:rPr/>
        <w:t>:</w:t>
        <w:tab/>
        <w:t>Please confirm that the Exhibit T documents have already been provided to Westdeutsche. I have assumed these will be obtained from WestLB and the Document Liquidated Damages are not necessary.</w:t>
      </w:r>
    </w:p>
    <w:p>
      <w:pPr>
        <w:pStyle w:val="BodyText"/>
        <w:rPr/>
      </w:pPr>
      <w:r>
        <w:rPr/>
      </w:r>
    </w:p>
    <w:p>
      <w:pPr>
        <w:pStyle w:val="BodyText"/>
        <w:rPr/>
      </w:pPr>
      <w:r>
        <w:rPr/>
        <w:t>10.1.1</w:t>
        <w:tab/>
      </w:r>
      <w:r>
        <w:rPr>
          <w:u w:val="single"/>
        </w:rPr>
        <w:t>Purchaser Review of Documents</w:t>
      </w:r>
    </w:p>
    <w:p>
      <w:pPr>
        <w:pStyle w:val="note"/>
        <w:rPr/>
      </w:pPr>
      <w:r>
        <w:rPr>
          <w:u w:val="single"/>
        </w:rPr>
        <w:t>ISSUE</w:t>
      </w:r>
      <w:r>
        <w:rPr/>
        <w:t>:</w:t>
        <w:tab/>
        <w:t>Are any review rights necessary at this point.</w:t>
      </w:r>
    </w:p>
    <w:p>
      <w:pPr>
        <w:pStyle w:val="BodyText"/>
        <w:rPr/>
      </w:pPr>
      <w:r>
        <w:rPr/>
      </w:r>
    </w:p>
    <w:p>
      <w:pPr>
        <w:pStyle w:val="BodyText"/>
        <w:rPr/>
      </w:pPr>
      <w:r>
        <w:rPr/>
        <w:t>10.3.1</w:t>
        <w:tab/>
      </w:r>
      <w:bookmarkStart w:id="22" w:name="_Ref486651428"/>
      <w:bookmarkStart w:id="23" w:name="_Ref486410415"/>
      <w:bookmarkStart w:id="24" w:name="_Ref486409190"/>
      <w:bookmarkStart w:id="25" w:name="_Ref486405555"/>
      <w:r>
        <w:rPr>
          <w:u w:val="single"/>
        </w:rPr>
        <w:t>Unit Delivery Liquidated Damages</w:t>
      </w:r>
      <w:bookmarkEnd w:id="22"/>
      <w:bookmarkEnd w:id="23"/>
      <w:bookmarkEnd w:id="24"/>
      <w:bookmarkEnd w:id="25"/>
    </w:p>
    <w:p>
      <w:pPr>
        <w:pStyle w:val="note"/>
        <w:rPr/>
      </w:pPr>
      <w:r>
        <w:rPr>
          <w:u w:val="single"/>
        </w:rPr>
        <w:t>NOTE</w:t>
      </w:r>
      <w:r>
        <w:rPr/>
        <w:t>:</w:t>
        <w:tab/>
        <w:t>Last sentence before the example is to be inserted in applicable Facility Agreement(s).</w:t>
      </w:r>
    </w:p>
    <w:p>
      <w:pPr>
        <w:pStyle w:val="BodyText"/>
        <w:rPr/>
      </w:pPr>
      <w:r>
        <w:rPr/>
      </w:r>
    </w:p>
    <w:p>
      <w:pPr>
        <w:pStyle w:val="BodyText"/>
        <w:rPr/>
      </w:pPr>
      <w:r>
        <w:rPr/>
        <w:t>10.3.2.1</w:t>
      </w:r>
    </w:p>
    <w:p>
      <w:pPr>
        <w:pStyle w:val="note"/>
        <w:rPr/>
      </w:pPr>
      <w:r>
        <w:rPr>
          <w:u w:val="single"/>
        </w:rPr>
        <w:t>NOTE</w:t>
      </w:r>
      <w:r>
        <w:rPr/>
        <w:t>:</w:t>
        <w:tab/>
        <w:t>Sound and Emissions have specific performance requirements. Are these provisions alternatives to Specific Performance.</w:t>
      </w:r>
    </w:p>
    <w:p>
      <w:pPr>
        <w:pStyle w:val="BodyText"/>
        <w:rPr/>
      </w:pPr>
      <w:r>
        <w:rPr/>
        <w:t>10.4.4</w:t>
        <w:tab/>
      </w:r>
      <w:bookmarkStart w:id="26" w:name="_Ref486407674"/>
      <w:r>
        <w:rPr/>
        <w:t>Specific Performance Exhaust Gas Energy Guarantee For Combined Cycle Application of Units</w:t>
      </w:r>
      <w:bookmarkEnd w:id="26"/>
    </w:p>
    <w:p>
      <w:pPr>
        <w:pStyle w:val="note"/>
        <w:rPr/>
      </w:pPr>
      <w:r>
        <w:rPr>
          <w:u w:val="single"/>
        </w:rPr>
        <w:t>ISSUE</w:t>
      </w:r>
      <w:r>
        <w:rPr/>
        <w:t>:</w:t>
        <w:tab/>
        <w:t xml:space="preserve">Facility Performance Guarantee is an undefined term. Is this intended to be “Facility </w:t>
      </w:r>
      <w:r>
        <w:rPr>
          <w:u w:val="single"/>
        </w:rPr>
        <w:t>Specific</w:t>
      </w:r>
      <w:r>
        <w:rPr/>
        <w:t xml:space="preserve"> Performance Guarantees.” Need to discuss last sentence of §10.4.4. Sections 10.4.1 and 10.4.3 appear redundant with Sections 10.4.2 and 10.4.4, respectively.</w:t>
      </w:r>
    </w:p>
    <w:p>
      <w:pPr>
        <w:pStyle w:val="BodyText"/>
        <w:rPr/>
      </w:pPr>
      <w:r>
        <w:rPr/>
      </w:r>
    </w:p>
    <w:p>
      <w:pPr>
        <w:pStyle w:val="BodyText"/>
        <w:rPr/>
      </w:pPr>
      <w:r>
        <w:rPr/>
        <w:t>10.7.3</w:t>
        <w:tab/>
      </w:r>
      <w:bookmarkStart w:id="27" w:name="_Ref486410805"/>
      <w:bookmarkStart w:id="28" w:name="_Ref486406267"/>
      <w:r>
        <w:rPr>
          <w:u w:val="single"/>
        </w:rPr>
        <w:t>Optional Electrical Output Guarantee</w:t>
      </w:r>
      <w:bookmarkEnd w:id="27"/>
      <w:bookmarkEnd w:id="28"/>
    </w:p>
    <w:p>
      <w:pPr>
        <w:pStyle w:val="note"/>
        <w:rPr/>
      </w:pPr>
      <w:r>
        <w:rPr>
          <w:u w:val="single"/>
        </w:rPr>
        <w:t>ISSUE</w:t>
      </w:r>
      <w:r>
        <w:rPr/>
        <w:t>:</w:t>
        <w:tab/>
        <w:t>Optional Electric Output Guarantee (50.1 MW) is greater than both the Electrical Output Guarantee (48.3 MW) and Specific Performance Electrical Output Guarantee (46.4 MW).  Please confirm this is correct.</w:t>
      </w:r>
    </w:p>
    <w:p>
      <w:pPr>
        <w:pStyle w:val="BodyText"/>
        <w:rPr/>
      </w:pPr>
      <w:r>
        <w:rPr/>
      </w:r>
    </w:p>
    <w:p>
      <w:pPr>
        <w:pStyle w:val="BodyText"/>
        <w:rPr/>
      </w:pPr>
      <w:r>
        <w:rPr/>
        <w:t>10.8.4</w:t>
        <w:tab/>
      </w:r>
      <w:bookmarkStart w:id="29" w:name="_Ref486657139"/>
      <w:r>
        <w:rPr>
          <w:u w:val="single"/>
        </w:rPr>
        <w:t>Facility Specific Performance Guarantee</w:t>
      </w:r>
      <w:bookmarkEnd w:id="29"/>
    </w:p>
    <w:p>
      <w:pPr>
        <w:pStyle w:val="note"/>
        <w:rPr/>
      </w:pPr>
      <w:r>
        <w:rPr>
          <w:u w:val="single"/>
        </w:rPr>
        <w:t>ISSUE</w:t>
      </w:r>
      <w:r>
        <w:rPr/>
        <w:t>:</w:t>
        <w:tab/>
        <w:t xml:space="preserve">I have assumed Facility Specific Performance Guarantees are specified prior to signing. Are these only Specific Performance Obligations or are Guaranteed Levels (and LDs) also applicable. Do they include liquid fuel </w:t>
      </w:r>
      <w:r>
        <w:rPr>
          <w:u w:val="single"/>
        </w:rPr>
        <w:t>and</w:t>
      </w:r>
      <w:r>
        <w:rPr/>
        <w:t xml:space="preserve"> combined cycle performance requirements.</w:t>
      </w:r>
    </w:p>
    <w:p>
      <w:pPr>
        <w:pStyle w:val="BodyText"/>
        <w:rPr/>
      </w:pPr>
      <w:r>
        <w:rPr/>
      </w:r>
    </w:p>
    <w:p>
      <w:pPr>
        <w:pStyle w:val="BodyText"/>
        <w:rPr/>
      </w:pPr>
      <w:r>
        <w:rPr/>
        <w:t>10.9.1</w:t>
        <w:tab/>
      </w:r>
      <w:r>
        <w:rPr>
          <w:u w:val="single"/>
        </w:rPr>
        <w:t>Output Liquidated Damages</w:t>
      </w:r>
    </w:p>
    <w:p>
      <w:pPr>
        <w:pStyle w:val="note"/>
        <w:rPr/>
      </w:pPr>
      <w:r>
        <w:rPr>
          <w:u w:val="single"/>
        </w:rPr>
        <w:t>NOTE</w:t>
      </w:r>
      <w:r>
        <w:rPr/>
        <w:t>:</w:t>
        <w:tab/>
        <w:t>As drafted, if Seller can never reach the Specific Performance Electrical Output Guarantee, no liquidated damages will be payable and only recourse is termination under §10.13. However, §6.4.4 states, and §17.2 implies, Purchaser gets the LDs even if Seller doesn’t reach Specific Performance Levels.</w:t>
      </w:r>
    </w:p>
    <w:p>
      <w:pPr>
        <w:pStyle w:val="note"/>
        <w:rPr>
          <w:u w:val="single"/>
        </w:rPr>
      </w:pPr>
      <w:r>
        <w:rPr>
          <w:u w:val="single"/>
        </w:rPr>
        <w:t>ISSUE</w:t>
      </w:r>
      <w:r>
        <w:rPr/>
        <w:t>:</w:t>
        <w:tab/>
        <w:t>What is the purpose of the last sentence in the last paragraph following the example.</w:t>
      </w:r>
    </w:p>
    <w:p>
      <w:pPr>
        <w:pStyle w:val="note"/>
        <w:rPr/>
      </w:pPr>
      <w:r>
        <w:rPr>
          <w:u w:val="single"/>
        </w:rPr>
        <w:t>ISSUE</w:t>
      </w:r>
      <w:r>
        <w:rPr/>
        <w:t>:</w:t>
        <w:tab/>
        <w:t>This appears to provide that in addition to Optional Output Liquidated Damages, Seller also pays Unit Output Liquidated Damages for each Unit not meeting the Electrical Output Guarantee of 48,315 kW under §10.7.1. Consider whether the example above should include a calculation of these LDs as well for clarity.</w:t>
      </w:r>
    </w:p>
    <w:p>
      <w:pPr>
        <w:pStyle w:val="BodyText"/>
        <w:rPr/>
      </w:pPr>
      <w:r>
        <w:rPr/>
      </w:r>
    </w:p>
    <w:p>
      <w:pPr>
        <w:pStyle w:val="BodyText"/>
        <w:rPr/>
      </w:pPr>
      <w:r>
        <w:rPr/>
        <w:t>10.12.3</w:t>
        <w:tab/>
      </w:r>
      <w:r>
        <w:rPr>
          <w:u w:val="single"/>
        </w:rPr>
        <w:t>Specific Performance Achievement</w:t>
      </w:r>
    </w:p>
    <w:p>
      <w:pPr>
        <w:pStyle w:val="note"/>
        <w:rPr>
          <w:b w:val="false"/>
        </w:rPr>
      </w:pPr>
      <w:r>
        <w:rPr>
          <w:u w:val="single"/>
        </w:rPr>
        <w:t>ISSUE</w:t>
      </w:r>
      <w:r>
        <w:rPr/>
        <w:t>:</w:t>
        <w:tab/>
        <w:t>Is the correct section reference to Section 10.13 correct.</w:t>
      </w:r>
    </w:p>
    <w:p>
      <w:pPr>
        <w:pStyle w:val="BodyText"/>
        <w:rPr>
          <w:b/>
        </w:rPr>
      </w:pPr>
      <w:r>
        <w:rPr>
          <w:b/>
        </w:rPr>
      </w:r>
    </w:p>
    <w:p>
      <w:pPr>
        <w:pStyle w:val="BodyText"/>
        <w:keepNext w:val="true"/>
        <w:keepLines/>
        <w:rPr/>
      </w:pPr>
      <w:r>
        <w:rPr/>
        <w:t>10.12.7</w:t>
        <w:tab/>
      </w:r>
      <w:bookmarkStart w:id="30" w:name="_Ref486407706"/>
      <w:r>
        <w:rPr>
          <w:u w:val="single"/>
        </w:rPr>
        <w:t>Performance Test Procedures</w:t>
      </w:r>
      <w:bookmarkEnd w:id="30"/>
    </w:p>
    <w:p>
      <w:pPr>
        <w:pStyle w:val="note"/>
        <w:keepNext w:val="true"/>
        <w:keepLines/>
        <w:rPr/>
      </w:pPr>
      <w:r>
        <w:rPr>
          <w:u w:val="single"/>
        </w:rPr>
        <w:t>ISSUE</w:t>
      </w:r>
      <w:r>
        <w:rPr/>
        <w:t>:</w:t>
        <w:tab/>
        <w:t>Will the actual Test Procedures be prepared and attached to Exhibit F before signing.</w:t>
      </w:r>
    </w:p>
    <w:p>
      <w:pPr>
        <w:pStyle w:val="BodyText"/>
        <w:rPr/>
      </w:pPr>
      <w:r>
        <w:rPr/>
      </w:r>
    </w:p>
    <w:p>
      <w:pPr>
        <w:pStyle w:val="BodyText"/>
        <w:rPr/>
      </w:pPr>
      <w:r>
        <w:rPr/>
        <w:t>17.1(d)(i)&amp;(ii)</w:t>
        <w:tab/>
      </w:r>
      <w:bookmarkStart w:id="31" w:name="_Ref486405883"/>
      <w:r>
        <w:rPr>
          <w:u w:val="single"/>
        </w:rPr>
        <w:t>Events of Default by Seller</w:t>
      </w:r>
      <w:bookmarkEnd w:id="31"/>
    </w:p>
    <w:p>
      <w:pPr>
        <w:pStyle w:val="note"/>
        <w:rPr/>
      </w:pPr>
      <w:r>
        <w:rPr>
          <w:u w:val="single"/>
        </w:rPr>
        <w:t>ISSUE</w:t>
      </w:r>
      <w:r>
        <w:rPr/>
        <w:t>:</w:t>
        <w:tab/>
        <w:t>Is it 20% or 15%.</w:t>
      </w:r>
    </w:p>
    <w:p>
      <w:pPr>
        <w:pStyle w:val="BodyText"/>
        <w:rPr/>
      </w:pPr>
      <w:r>
        <w:rPr/>
      </w:r>
    </w:p>
    <w:p>
      <w:pPr>
        <w:pStyle w:val="BodyText"/>
        <w:rPr/>
      </w:pPr>
      <w:r>
        <w:rPr/>
        <w:t>ARTICLE XXII</w:t>
        <w:tab/>
        <w:t>ASSIGNMENT</w:t>
      </w:r>
    </w:p>
    <w:p>
      <w:pPr>
        <w:pStyle w:val="note"/>
        <w:rPr/>
      </w:pPr>
      <w:r>
        <w:rPr>
          <w:u w:val="single"/>
        </w:rPr>
        <w:t>ISSUE</w:t>
      </w:r>
      <w:r>
        <w:rPr/>
        <w:t>:</w:t>
        <w:tab/>
        <w:t>Are all of the WestLB Agreement assignment restrictions on Purchaser carried over to the Facility Agreement.</w:t>
      </w:r>
    </w:p>
    <w:p>
      <w:pPr>
        <w:pStyle w:val="BodyText"/>
        <w:rPr/>
      </w:pPr>
      <w:r>
        <w:rPr/>
      </w:r>
    </w:p>
    <w:p>
      <w:pPr>
        <w:pStyle w:val="BodyText"/>
        <w:rPr/>
      </w:pPr>
      <w:r>
        <w:rPr/>
        <w:t>22.2</w:t>
        <w:tab/>
      </w:r>
      <w:bookmarkStart w:id="32" w:name="_Ref486655029"/>
      <w:r>
        <w:rPr>
          <w:u w:val="single"/>
        </w:rPr>
        <w:t>Assignment by Purchaser</w:t>
      </w:r>
      <w:bookmarkEnd w:id="32"/>
    </w:p>
    <w:p>
      <w:pPr>
        <w:pStyle w:val="note"/>
        <w:rPr/>
      </w:pPr>
      <w:r>
        <w:rPr>
          <w:u w:val="single"/>
        </w:rPr>
        <w:t>ISSUE</w:t>
      </w:r>
      <w:r>
        <w:rPr/>
        <w:t>:</w:t>
        <w:tab/>
        <w:t>At the end of the first paragraph of Section 22.2, should “Purchaser” be “Seller”.</w:t>
      </w:r>
    </w:p>
    <w:p>
      <w:pPr>
        <w:pStyle w:val="note"/>
        <w:rPr/>
      </w:pPr>
      <w:r>
        <w:rPr>
          <w:u w:val="single"/>
        </w:rPr>
        <w:t>ISSUE</w:t>
      </w:r>
      <w:r>
        <w:rPr/>
        <w:t>:</w:t>
        <w:tab/>
        <w:t>Has GE already executed a guarantee.</w:t>
      </w:r>
    </w:p>
    <w:p>
      <w:pPr>
        <w:pStyle w:val="note"/>
        <w:rPr/>
      </w:pPr>
      <w:r>
        <w:rPr/>
      </w:r>
    </w:p>
    <w:p>
      <w:pPr>
        <w:pStyle w:val="exhibit"/>
        <w:jc w:val="start"/>
        <w:rPr/>
      </w:pPr>
      <w:r>
        <w:rPr/>
        <w:t>EXHIBIT B</w:t>
        <w:noBreakHyphen/>
        <w:t xml:space="preserve">1  </w:t>
      </w:r>
      <w:r>
        <w:rPr>
          <w:rStyle w:val="Underline"/>
        </w:rPr>
        <w:t>SPECIFICATION</w:t>
      </w:r>
    </w:p>
    <w:p>
      <w:pPr>
        <w:pStyle w:val="note"/>
        <w:rPr/>
      </w:pPr>
      <w:r>
        <w:rPr>
          <w:rStyle w:val="Underline"/>
        </w:rPr>
        <w:t>[To be completed before signing]</w:t>
      </w:r>
    </w:p>
    <w:p>
      <w:pPr>
        <w:pStyle w:val="BodyText"/>
        <w:rPr/>
      </w:pPr>
      <w:r>
        <w:rPr/>
      </w:r>
    </w:p>
    <w:p>
      <w:pPr>
        <w:pStyle w:val="exhibit"/>
        <w:jc w:val="start"/>
        <w:rPr/>
      </w:pPr>
      <w:r>
        <w:rPr/>
        <w:t xml:space="preserve">EXHIBIT F  </w:t>
      </w:r>
      <w:r>
        <w:rPr>
          <w:u w:val="single"/>
        </w:rPr>
        <w:t>PERFORMANCE TEST GUIDELINES</w:t>
      </w:r>
    </w:p>
    <w:p>
      <w:pPr>
        <w:pStyle w:val="BodyText"/>
        <w:rPr/>
      </w:pPr>
      <w:r>
        <w:rPr/>
        <w:t>[To be revised and updated before signing per §10.12.7 of the Westdeutsche Agreement]</w:t>
      </w:r>
    </w:p>
    <w:p>
      <w:pPr>
        <w:pStyle w:val="BodyText"/>
        <w:rPr/>
      </w:pPr>
      <w:r>
        <w:rPr/>
      </w:r>
    </w:p>
    <w:p>
      <w:pPr>
        <w:pStyle w:val="exhibit"/>
        <w:jc w:val="start"/>
        <w:rPr/>
      </w:pPr>
      <w:r>
        <w:rPr/>
        <w:t xml:space="preserve">EXHIBIT H-2  </w:t>
      </w:r>
      <w:r>
        <w:rPr>
          <w:u w:val="single"/>
        </w:rPr>
        <w:t>TRAINING</w:t>
      </w:r>
    </w:p>
    <w:p>
      <w:pPr>
        <w:pStyle w:val="BodyText"/>
        <w:rPr>
          <w:u w:val="single"/>
        </w:rPr>
      </w:pPr>
      <w:r>
        <w:rPr>
          <w:u w:val="single"/>
        </w:rPr>
        <w:t>[To be completed prior to signing]</w:t>
      </w:r>
    </w:p>
    <w:p>
      <w:pPr>
        <w:pStyle w:val="BodyText"/>
        <w:rPr>
          <w:u w:val="single"/>
        </w:rPr>
      </w:pPr>
      <w:r>
        <w:rPr>
          <w:u w:val="single"/>
        </w:rPr>
      </w:r>
    </w:p>
    <w:p>
      <w:pPr>
        <w:pStyle w:val="exhibit"/>
        <w:jc w:val="start"/>
        <w:rPr/>
      </w:pPr>
      <w:r>
        <w:rPr/>
        <w:t xml:space="preserve">EXHIBIT M-1  </w:t>
      </w:r>
      <w:r>
        <w:rPr>
          <w:u w:val="single"/>
        </w:rPr>
        <w:t>NOT USED</w:t>
      </w:r>
    </w:p>
    <w:p>
      <w:pPr>
        <w:pStyle w:val="BodyText"/>
        <w:rPr/>
      </w:pPr>
      <w:r>
        <w:rPr>
          <w:b/>
          <w:u w:val="single"/>
        </w:rPr>
        <w:t>ISSUE:</w:t>
      </w:r>
      <w:r>
        <w:rPr>
          <w:b/>
        </w:rPr>
        <w:t xml:space="preserve"> </w:t>
        <w:tab/>
        <w:t>How are startup and O&amp;M spares to be handled.</w:t>
      </w:r>
    </w:p>
    <w:p>
      <w:pPr>
        <w:pStyle w:val="BodyText"/>
        <w:rPr>
          <w:b/>
        </w:rPr>
      </w:pPr>
      <w:r>
        <w:rPr>
          <w:b/>
        </w:rPr>
      </w:r>
    </w:p>
    <w:p>
      <w:pPr>
        <w:pStyle w:val="exhibit"/>
        <w:jc w:val="start"/>
        <w:rPr/>
      </w:pPr>
      <w:r>
        <w:rPr/>
        <w:t xml:space="preserve">EXHIBIT M-2 </w:t>
      </w:r>
      <w:r>
        <w:rPr>
          <w:u w:val="single"/>
        </w:rPr>
        <w:t>NOT USED</w:t>
      </w:r>
    </w:p>
    <w:p>
      <w:pPr>
        <w:pStyle w:val="BodyText"/>
        <w:rPr/>
      </w:pPr>
      <w:r>
        <w:rPr>
          <w:b/>
          <w:u w:val="single"/>
        </w:rPr>
        <w:t>ISSUE</w:t>
      </w:r>
      <w:r>
        <w:rPr>
          <w:b/>
        </w:rPr>
        <w:t>:</w:t>
        <w:tab/>
        <w:t>How are commissioning spares and special tools to be handled.</w:t>
      </w:r>
    </w:p>
    <w:p>
      <w:pPr>
        <w:pStyle w:val="BodyText"/>
        <w:rPr>
          <w:b/>
        </w:rPr>
      </w:pPr>
      <w:r>
        <w:rPr>
          <w:b/>
        </w:rPr>
      </w:r>
    </w:p>
    <w:p>
      <w:pPr>
        <w:pStyle w:val="exhibit"/>
        <w:jc w:val="start"/>
        <w:rPr/>
      </w:pPr>
      <w:r>
        <w:rPr/>
        <w:t xml:space="preserve">EXHIBIT R  </w:t>
      </w:r>
      <w:r>
        <w:rPr>
          <w:u w:val="single"/>
        </w:rPr>
        <w:t>SCHEDULE OF WITNESS TEST POINTS</w:t>
      </w:r>
    </w:p>
    <w:p>
      <w:pPr>
        <w:pStyle w:val="BodyText"/>
        <w:rPr>
          <w:u w:val="single"/>
        </w:rPr>
      </w:pPr>
      <w:r>
        <w:rPr>
          <w:u w:val="single"/>
        </w:rPr>
        <w:t>[To be completed before signing.]</w:t>
      </w:r>
    </w:p>
    <w:p>
      <w:pPr>
        <w:pStyle w:val="BodyText"/>
        <w:rPr>
          <w:u w:val="single"/>
        </w:rPr>
      </w:pPr>
      <w:r>
        <w:rPr>
          <w:u w:val="single"/>
        </w:rPr>
      </w:r>
    </w:p>
    <w:p>
      <w:pPr>
        <w:pStyle w:val="exhibit"/>
        <w:jc w:val="start"/>
        <w:rPr/>
      </w:pPr>
      <w:r>
        <w:rPr/>
        <w:t xml:space="preserve">EXHIBIT T  </w:t>
      </w:r>
      <w:r>
        <w:rPr>
          <w:u w:val="single"/>
        </w:rPr>
        <w:t>NOT USED</w:t>
      </w:r>
    </w:p>
    <w:p>
      <w:pPr>
        <w:pStyle w:val="BodyText"/>
        <w:rPr/>
      </w:pPr>
      <w:r>
        <w:rPr>
          <w:u w:val="single"/>
        </w:rPr>
        <w:t>ISSUE</w:t>
      </w:r>
      <w:r>
        <w:rPr/>
        <w:t>:</w:t>
        <w:tab/>
        <w:t>Enron to confirm document delivery is complete</w:t>
      </w:r>
    </w:p>
    <w:p>
      <w:pPr>
        <w:pStyle w:val="BodyText"/>
        <w:rPr>
          <w:b/>
          <w:u w:val="single"/>
        </w:rPr>
      </w:pPr>
      <w:r>
        <w:rPr>
          <w:b/>
          <w:u w:val="single"/>
        </w:rPr>
      </w:r>
    </w:p>
    <w:p>
      <w:pPr>
        <w:pStyle w:val="exhibit"/>
        <w:jc w:val="start"/>
        <w:rPr/>
      </w:pPr>
      <w:r>
        <w:rPr/>
        <w:t xml:space="preserve">EXHIBIT U  </w:t>
      </w:r>
      <w:r>
        <w:rPr>
          <w:u w:val="single"/>
        </w:rPr>
        <w:t>FACILITY SPECIFIC PERFORMANCE LEVELS</w:t>
      </w:r>
    </w:p>
    <w:p>
      <w:pPr>
        <w:pStyle w:val="BlockText"/>
        <w:jc w:val="center"/>
        <w:rPr>
          <w:b/>
        </w:rPr>
      </w:pPr>
      <w:r>
        <w:rPr>
          <w:b/>
        </w:rPr>
        <w:t>[To be completed before signing]</w:t>
      </w:r>
    </w:p>
    <w:p>
      <w:pPr>
        <w:pStyle w:val="note"/>
        <w:rPr/>
      </w:pPr>
      <w:r>
        <w:rPr>
          <w:u w:val="single"/>
        </w:rPr>
        <w:t>ISSUE</w:t>
      </w:r>
      <w:r>
        <w:rPr/>
        <w:t>:</w:t>
        <w:tab/>
        <w:t xml:space="preserve">Does it also include combined cycle Exhaust Gas Temperature and Energy levels. </w:t>
      </w:r>
      <w:r>
        <w:rPr>
          <w:u w:val="single"/>
        </w:rPr>
        <w:t xml:space="preserve">See </w:t>
      </w:r>
      <w:r>
        <w:rPr/>
        <w:t>§10.4.</w:t>
      </w:r>
    </w:p>
    <w:p>
      <w:pPr>
        <w:pStyle w:val="BodyText"/>
        <w:spacing w:before="0" w:after="240"/>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4"/>
          <w:szCs w:val="20"/>
          <w:lang w:bidi="en-US" w:eastAsia="en-US" w:val="en-US"/>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4"/>
          <w:szCs w:val="2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EngraversGothic BT">
    <w:charset w:val="00" w:characterSet="windows-1252"/>
    <w:family w:val="swiss"/>
    <w:pitch w:val="variable"/>
  </w:font>
  <w:font w:name="GoudyTrajanBold">
    <w:charset w:val="00" w:characterSet="windows-1252"/>
    <w:family w:val="auto"/>
    <w:pitch w:val="variable"/>
  </w:font>
  <w:font w:name="GoudyTrajanRegular">
    <w:charset w:val="00" w:characterSet="windows-1252"/>
    <w:family w:val="auto"/>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579601.1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Bold;Times New Roman" w:hAnsi="Times New Roman Bold;Times New Roman" w:cs="Times New Roman Bold;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lvl>
  </w:abstractNum>
  <w:num w:numId="1">
    <w:abstractNumId w:val="1"/>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720"/>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outlineLvl w:val="4"/>
    </w:pPr>
    <w:rPr/>
  </w:style>
  <w:style w:type="paragraph" w:styleId="Heading6">
    <w:name w:val="heading 6"/>
    <w:basedOn w:val="Heading"/>
    <w:next w:val="BodyText"/>
    <w:qFormat/>
    <w:pPr>
      <w:numPr>
        <w:ilvl w:val="5"/>
        <w:numId w:val="1"/>
      </w:numPr>
      <w:tabs>
        <w:tab w:val="clear" w:pos="720"/>
        <w:tab w:val="left" w:pos="2160" w:leader="none"/>
      </w:tabs>
      <w:outlineLvl w:val="5"/>
    </w:pPr>
    <w:rPr/>
  </w:style>
  <w:style w:type="paragraph" w:styleId="Heading7">
    <w:name w:val="heading 7"/>
    <w:basedOn w:val="Heading"/>
    <w:next w:val="BodyText"/>
    <w:qFormat/>
    <w:pPr>
      <w:numPr>
        <w:ilvl w:val="6"/>
        <w:numId w:val="1"/>
      </w:numPr>
      <w:tabs>
        <w:tab w:val="clear" w:pos="720"/>
        <w:tab w:val="left" w:pos="2160" w:leader="none"/>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288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z w:val="24"/>
      <w:u w:val="none"/>
    </w:rPr>
  </w:style>
  <w:style w:type="character" w:styleId="WW8Num11z2">
    <w:name w:val="WW8Num11z2"/>
    <w:qFormat/>
    <w:rPr/>
  </w:style>
  <w:style w:type="character" w:styleId="WW8Num11z8">
    <w:name w:val="WW8Num11z8"/>
    <w:qFormat/>
    <w:rPr>
      <w:rFonts w:ascii="Symbol" w:hAnsi="Symbol" w:cs="Symbol"/>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Bold;Times New Roman" w:hAnsi="Times New Roman Bold;Times New Roman" w:cs="Times New Roman Bold;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rFonts w:ascii="Arial" w:hAnsi="Arial" w:cs="Arial"/>
      <w:b w:val="false"/>
      <w:i w:val="false"/>
      <w:vanish w:val="false"/>
      <w:color w:val="000000"/>
      <w:sz w:val="24"/>
      <w:u w:val="none"/>
    </w:rPr>
  </w:style>
  <w:style w:type="character" w:styleId="ToFont">
    <w:name w:val="ToFont"/>
    <w:basedOn w:val="DefaultParagraphFont"/>
    <w:qFormat/>
    <w:rPr>
      <w:rFonts w:ascii="EngraversGothic BT" w:hAnsi="EngraversGothic BT" w:cs="EngraversGothic BT"/>
      <w:sz w:val="24"/>
    </w:rPr>
  </w:style>
  <w:style w:type="character" w:styleId="CommentReference">
    <w:name w:val="Comment Reference"/>
    <w:basedOn w:val="DefaultParagraphFont"/>
    <w:qFormat/>
    <w:rPr>
      <w:sz w:val="16"/>
      <w:szCs w:val="16"/>
    </w:rPr>
  </w:style>
  <w:style w:type="character" w:styleId="Underline">
    <w:name w:val="Underline"/>
    <w:basedOn w:val="DefaultParagraphFont"/>
    <w:qFormat/>
    <w:rPr>
      <w:rFonts w:ascii="Times New Roman" w:hAnsi="Times New Roman" w:cs="Times New Roman"/>
      <w:sz w:val="24"/>
      <w:u w:val="single"/>
    </w:rPr>
  </w:style>
  <w:style w:type="paragraph" w:styleId="Heading">
    <w:name w:val="Heading"/>
    <w:basedOn w:val="Normal"/>
    <w:next w:val="BodyText"/>
    <w:qFormat/>
    <w:pPr>
      <w:spacing w:before="0" w:after="240"/>
      <w:jc w:val="both"/>
    </w:pPr>
    <w:rPr>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next w:val="BodyText"/>
    <w:qFormat/>
    <w:pPr>
      <w:spacing w:before="0" w:after="240"/>
      <w:jc w:val="center"/>
      <w:outlineLvl w:val="0"/>
    </w:pPr>
    <w:rPr>
      <w:b/>
      <w:kern w:val="2"/>
    </w:rPr>
  </w:style>
  <w:style w:type="paragraph" w:styleId="BodyTextFirstIndent">
    <w:name w:val="Body Text First Indent"/>
    <w:basedOn w:val="BodyText"/>
    <w:qFormat/>
    <w:pPr>
      <w:ind w:firstLine="144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ind w:hanging="0" w:start="4079" w:end="0"/>
    </w:pPr>
    <w:rPr>
      <w:rFonts w:ascii="Arial" w:hAnsi="Arial" w:cs="Arial"/>
      <w:color w:val="000000"/>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z w:val="24"/>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Letterhead">
    <w:name w:val="Letterhead"/>
    <w:basedOn w:val="Normal"/>
    <w:qFormat/>
    <w:pPr>
      <w:jc w:val="center"/>
    </w:pPr>
    <w:rPr>
      <w:rFonts w:ascii="GoudyTrajanBold" w:hAnsi="GoudyTrajanBold" w:cs="GoudyTrajanBold"/>
      <w:sz w:val="3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Times New Roman" w:cs="Arial"/>
      <w:color w:val="auto"/>
      <w:sz w:val="20"/>
      <w:szCs w:val="20"/>
      <w:lang w:val="en-US" w:eastAsia="zh-CN" w:bidi="hi-IN"/>
    </w:rPr>
  </w:style>
  <w:style w:type="paragraph" w:styleId="MemoAddress">
    <w:name w:val="MemoAddress"/>
    <w:basedOn w:val="Normal"/>
    <w:qFormat/>
    <w:pPr>
      <w:jc w:val="center"/>
    </w:pPr>
    <w:rPr>
      <w:rFonts w:ascii="GoudyTrajanBold" w:hAnsi="GoudyTrajanBold" w:cs="GoudyTrajanBold"/>
      <w:sz w:val="14"/>
    </w:rPr>
  </w:style>
  <w:style w:type="paragraph" w:styleId="MemoSecondPage">
    <w:name w:val="MemoSecondPage"/>
    <w:basedOn w:val="Header"/>
    <w:qFormat/>
    <w:pPr>
      <w:jc w:val="center"/>
    </w:pPr>
    <w:rPr>
      <w:rFonts w:ascii="GoudyTrajanRegular" w:hAnsi="GoudyTrajanRegular" w:cs="GoudyTrajanRegular"/>
      <w:sz w:val="18"/>
    </w:rPr>
  </w:style>
  <w:style w:type="paragraph" w:styleId="MemoTitle">
    <w:name w:val="MemoTitle"/>
    <w:basedOn w:val="Normal"/>
    <w:qFormat/>
    <w:pPr>
      <w:spacing w:before="0" w:after="240"/>
      <w:jc w:val="center"/>
    </w:pPr>
    <w:rPr>
      <w:rFonts w:ascii="EngraversGothic BT" w:hAnsi="EngraversGothic BT" w:cs="EngraversGothic BT"/>
      <w:sz w:val="30"/>
    </w:rPr>
  </w:style>
  <w:style w:type="paragraph" w:styleId="spacer">
    <w:name w:val="spacer"/>
    <w:basedOn w:val="Normal"/>
    <w:qFormat/>
    <w:pPr>
      <w:jc w:val="both"/>
    </w:pPr>
    <w:rPr/>
  </w:style>
  <w:style w:type="paragraph" w:styleId="note">
    <w:name w:val="note"/>
    <w:basedOn w:val="BodyText"/>
    <w:qFormat/>
    <w:pPr>
      <w:spacing w:before="0" w:after="120"/>
    </w:pPr>
    <w:rPr>
      <w:rFonts w:ascii="Times New Roman Bold;Times New Roman" w:hAnsi="Times New Roman Bold;Times New Roman" w:cs="Times New Roman Bold;Times New Roman"/>
      <w:b/>
    </w:rPr>
  </w:style>
  <w:style w:type="paragraph" w:styleId="point1">
    <w:name w:val="point1"/>
    <w:basedOn w:val="BodyText"/>
    <w:qFormat/>
    <w:pPr>
      <w:spacing w:before="0" w:after="0"/>
      <w:ind w:hanging="288" w:start="1008" w:end="0"/>
    </w:pPr>
    <w:rPr/>
  </w:style>
  <w:style w:type="paragraph" w:styleId="point2">
    <w:name w:val="point2"/>
    <w:basedOn w:val="BodyText"/>
    <w:qFormat/>
    <w:pPr>
      <w:spacing w:before="0" w:after="0"/>
      <w:ind w:hanging="288" w:start="1296" w:end="0"/>
    </w:pPr>
    <w:rPr/>
  </w:style>
  <w:style w:type="paragraph" w:styleId="point3">
    <w:name w:val="point3"/>
    <w:basedOn w:val="BodyText"/>
    <w:qFormat/>
    <w:pPr>
      <w:spacing w:before="0" w:after="0"/>
      <w:ind w:hanging="432" w:start="1872" w:end="0"/>
    </w:pPr>
    <w:rPr/>
  </w:style>
  <w:style w:type="paragraph" w:styleId="CommentText">
    <w:name w:val="Comment Text"/>
    <w:basedOn w:val="Normal"/>
    <w:qFormat/>
    <w:pPr/>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eastAsia="zh-CN" w:bidi="hi-IN"/>
    </w:rPr>
  </w:style>
  <w:style w:type="paragraph" w:styleId="exhibit">
    <w:name w:val="exhibit"/>
    <w:basedOn w:val="Title"/>
    <w:qFormat/>
    <w:pPr/>
    <w:rPr>
      <w:rFonts w:ascii="Times New Roman Bold;Times New Roman" w:hAnsi="Times New Roman Bold;Times New Roman" w:cs="Times New Roman Bold;Times New Roman"/>
    </w:rPr>
  </w:style>
  <w:style w:type="paragraph" w:styleId="BlockText">
    <w:name w:val="Block Text"/>
    <w:basedOn w:val="Normal"/>
    <w:qFormat/>
    <w:pPr>
      <w:spacing w:before="0" w:after="240"/>
      <w:ind w:hanging="0" w:start="1440" w:end="1440"/>
      <w:jc w:val="both"/>
    </w:pPr>
    <w:rPr/>
  </w:style>
  <w:style w:type="paragraph" w:styleId="Date">
    <w:name w:val="Date"/>
    <w:basedOn w:val="Normal"/>
    <w:next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2000-10-03T17:21:00Z</dcterms:created>
  <dc:creator>A&amp;K</dc:creator>
  <dc:description/>
  <dc:language>en-CA</dc:language>
  <cp:lastModifiedBy>A&amp;K</cp:lastModifiedBy>
  <cp:lastPrinted>2000-10-03T14:50:00Z</cp:lastPrinted>
  <dcterms:modified xsi:type="dcterms:W3CDTF">2000-10-03T17:21:00Z</dcterms:modified>
  <cp:revision>2</cp:revision>
  <dc:subject/>
  <dc:title>Notes and Issues</dc:title>
</cp:coreProperties>
</file>