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Lamar’s Notes on Discounting in Perpetuity</w:t>
      </w:r>
    </w:p>
    <w:p>
      <w:pPr>
        <w:pStyle w:val="Subtitle"/>
        <w:ind w:firstLine="720" w:start="6480" w:end="0"/>
        <w:jc w:val="start"/>
        <w:rPr/>
      </w:pPr>
      <w:r>
        <w:rPr/>
        <w:t>E201A</w:t>
      </w:r>
    </w:p>
    <w:p>
      <w:pPr>
        <w:pStyle w:val="Heading1"/>
        <w:ind w:firstLine="720" w:start="6480" w:end="0"/>
        <w:rPr/>
      </w:pPr>
      <w:r>
        <w:rPr/>
        <w:t>Fall, 1999</w:t>
      </w:r>
    </w:p>
    <w:p>
      <w:pPr>
        <w:pStyle w:val="Normal"/>
        <w:rPr/>
      </w:pPr>
      <w:r>
        <w:rPr/>
      </w:r>
    </w:p>
    <w:p>
      <w:pPr>
        <w:pStyle w:val="BodyText"/>
        <w:rPr/>
      </w:pPr>
      <w:r>
        <w:rPr/>
        <w:tab/>
        <w:t>Since there seems to be some confusion and fear on this subject, I will attempt to explain it in detail here so as to give you some reference piece when studying.   This set of notes is best utilized by studying, rather than by tearing to shreds while cursing economics.</w:t>
      </w:r>
    </w:p>
    <w:p>
      <w:pPr>
        <w:pStyle w:val="Normal"/>
        <w:rPr>
          <w:sz w:val="22"/>
        </w:rPr>
      </w:pPr>
      <w:r>
        <w:rPr>
          <w:sz w:val="22"/>
        </w:rPr>
      </w:r>
    </w:p>
    <w:p>
      <w:pPr>
        <w:pStyle w:val="Normal"/>
        <w:rPr/>
      </w:pPr>
      <w:r>
        <w:rPr>
          <w:sz w:val="22"/>
        </w:rPr>
        <w:tab/>
        <w:t xml:space="preserve">Discounting in perpetuity allows an individual or firm to calculate the current value of a future stream of payments.   This present value then allows the firm to compare two or more alternatives in making a profit-maximizing decision.    Discounting is the acknowledgement that $100 today is not equivalent to $100 next year or $100 next century.  We generally deal with discounting in terms of the interest rate, since for the firm, this is the most relevant discounting factor.  Note that if r =.1, the $100 you earn this year will be worth $110 next year.  Here you can clearly see that the $100 you earn this year is not equivalent to $100 next year.  It is equivalent to $110 next year.    Consequently, we must discount future period payoffs by the interest rate such that they are considered in terms of </w:t>
      </w:r>
      <w:r>
        <w:rPr>
          <w:b/>
          <w:sz w:val="22"/>
        </w:rPr>
        <w:t xml:space="preserve">current </w:t>
      </w:r>
      <w:r>
        <w:rPr>
          <w:sz w:val="22"/>
        </w:rPr>
        <w:t>dollars.   This is accomplished by dividing the payoff by (1+r) for each period of discounting.  Thus $100 today is equivalent to $100/(1.1) next period which is equivalent to $100/(1.1)</w:t>
      </w:r>
      <w:r>
        <w:rPr>
          <w:sz w:val="22"/>
          <w:vertAlign w:val="superscript"/>
        </w:rPr>
        <w:t>2</w:t>
      </w:r>
      <w:r>
        <w:rPr>
          <w:sz w:val="22"/>
        </w:rPr>
        <w:t xml:space="preserve"> two periods later which is equivalent to $100/(1.1)</w:t>
      </w:r>
      <w:r>
        <w:rPr>
          <w:sz w:val="22"/>
          <w:vertAlign w:val="superscript"/>
        </w:rPr>
        <w:t>3</w:t>
      </w:r>
      <w:r>
        <w:rPr>
          <w:sz w:val="22"/>
        </w:rPr>
        <w:t xml:space="preserve"> three period later and so on.    </w:t>
      </w:r>
    </w:p>
    <w:p>
      <w:pPr>
        <w:pStyle w:val="Normal"/>
        <w:rPr>
          <w:sz w:val="22"/>
        </w:rPr>
      </w:pPr>
      <w:r>
        <w:rPr>
          <w:sz w:val="22"/>
        </w:rPr>
      </w:r>
    </w:p>
    <w:p>
      <w:pPr>
        <w:pStyle w:val="Normal"/>
        <w:rPr/>
      </w:pPr>
      <w:r>
        <w:rPr>
          <w:sz w:val="22"/>
        </w:rPr>
        <w:tab/>
        <w:t>Now we understand how to discount any period’s payoff.  The remaining issue is how to calculate the current value of a future stream of payoffs.    From our earlier example this will equal $100 + $100/(1.1) +$100/(1.1)</w:t>
      </w:r>
      <w:r>
        <w:rPr>
          <w:sz w:val="22"/>
          <w:vertAlign w:val="superscript"/>
        </w:rPr>
        <w:t>2</w:t>
      </w:r>
      <w:r>
        <w:rPr>
          <w:sz w:val="22"/>
        </w:rPr>
        <w:t xml:space="preserve"> + $100/(1.1)</w:t>
      </w:r>
      <w:r>
        <w:rPr>
          <w:sz w:val="22"/>
          <w:vertAlign w:val="superscript"/>
        </w:rPr>
        <w:t>3</w:t>
      </w:r>
      <w:r>
        <w:rPr>
          <w:sz w:val="22"/>
        </w:rPr>
        <w:t xml:space="preserve"> + . . . . . . for an infinite period of time.  This equates to an infinite series which can be represented by $100(1.1/.1).   More generally, an infinite series of identical payoffs starting in a non discounted period can be represented as (Payoff)(r+1)/r.   This is a mathematical relationship you will have to trust me on.  If you are eager for a formal proof, consult some calculus textbooks.   Note that in this case, the first period was not discounted.   An infinite series of identical payoffs starting in a singly discounted period is (Payoff)(1/r). An infinite series of identical payoffs starting in a doubly discounted period is (Payoff)((1/r(r+1)). An infinite series of identical payoffs starting in a triply discounted period is (Payoff)((1/r(r+1)</w:t>
      </w:r>
      <w:r>
        <w:rPr>
          <w:sz w:val="22"/>
          <w:vertAlign w:val="superscript"/>
        </w:rPr>
        <w:t>2</w:t>
      </w:r>
      <w:r>
        <w:rPr>
          <w:sz w:val="22"/>
        </w:rPr>
        <w:t xml:space="preserve">).  One can see the pattern here.    </w:t>
      </w:r>
    </w:p>
    <w:p>
      <w:pPr>
        <w:pStyle w:val="Normal"/>
        <w:rPr>
          <w:sz w:val="22"/>
        </w:rPr>
      </w:pPr>
      <w:r>
        <w:rPr>
          <w:sz w:val="22"/>
        </w:rPr>
      </w:r>
    </w:p>
    <w:tbl>
      <w:tblPr>
        <w:tblW w:w="8518" w:type="dxa"/>
        <w:jc w:val="start"/>
        <w:tblInd w:w="0" w:type="dxa"/>
        <w:tblLayout w:type="fixed"/>
        <w:tblCellMar>
          <w:top w:w="0" w:type="dxa"/>
          <w:start w:w="30" w:type="dxa"/>
          <w:bottom w:w="0" w:type="dxa"/>
          <w:end w:w="30" w:type="dxa"/>
        </w:tblCellMar>
      </w:tblPr>
      <w:tblGrid>
        <w:gridCol w:w="5078"/>
        <w:gridCol w:w="3440"/>
      </w:tblGrid>
      <w:tr>
        <w:trPr>
          <w:trHeight w:val="523" w:hRule="atLeast"/>
        </w:trPr>
        <w:tc>
          <w:tcPr>
            <w:tcW w:w="507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8"/>
                <w:lang w:eastAsia="en-US"/>
              </w:rPr>
            </w:pPr>
            <w:r>
              <w:rPr>
                <w:rFonts w:cs="Arial" w:ascii="Arial" w:hAnsi="Arial"/>
                <w:color w:val="000000"/>
                <w:sz w:val="28"/>
                <w:lang w:eastAsia="en-US"/>
              </w:rPr>
              <w:t xml:space="preserve">First Period in the infinite series is. . . </w:t>
            </w:r>
          </w:p>
        </w:tc>
        <w:tc>
          <w:tcPr>
            <w:tcW w:w="34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8"/>
                <w:lang w:eastAsia="en-US"/>
              </w:rPr>
            </w:pPr>
            <w:r>
              <w:rPr>
                <w:rFonts w:cs="Arial" w:ascii="Arial" w:hAnsi="Arial"/>
                <w:color w:val="000000"/>
                <w:sz w:val="28"/>
                <w:lang w:eastAsia="en-US"/>
              </w:rPr>
              <w:t xml:space="preserve">Infinite Series Equals. . . </w:t>
            </w:r>
          </w:p>
        </w:tc>
      </w:tr>
      <w:tr>
        <w:trPr>
          <w:trHeight w:val="247" w:hRule="atLeast"/>
        </w:trPr>
        <w:tc>
          <w:tcPr>
            <w:tcW w:w="507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Not Discounted</w:t>
            </w:r>
          </w:p>
        </w:tc>
        <w:tc>
          <w:tcPr>
            <w:tcW w:w="34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(Payoff)(r+1)/r</w:t>
            </w:r>
          </w:p>
        </w:tc>
      </w:tr>
      <w:tr>
        <w:trPr>
          <w:trHeight w:val="247" w:hRule="atLeast"/>
        </w:trPr>
        <w:tc>
          <w:tcPr>
            <w:tcW w:w="507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Discounted once</w:t>
            </w:r>
          </w:p>
        </w:tc>
        <w:tc>
          <w:tcPr>
            <w:tcW w:w="34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(Payoff)(1/r)</w:t>
            </w:r>
          </w:p>
        </w:tc>
      </w:tr>
      <w:tr>
        <w:trPr>
          <w:trHeight w:val="247" w:hRule="atLeast"/>
        </w:trPr>
        <w:tc>
          <w:tcPr>
            <w:tcW w:w="507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Discounted twice</w:t>
            </w:r>
          </w:p>
        </w:tc>
        <w:tc>
          <w:tcPr>
            <w:tcW w:w="34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(Payoff)(1/r(1+r))</w:t>
            </w:r>
          </w:p>
        </w:tc>
      </w:tr>
      <w:tr>
        <w:trPr>
          <w:trHeight w:val="276" w:hRule="atLeast"/>
        </w:trPr>
        <w:tc>
          <w:tcPr>
            <w:tcW w:w="507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Discounted three times</w:t>
            </w:r>
          </w:p>
        </w:tc>
        <w:tc>
          <w:tcPr>
            <w:tcW w:w="344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color w:val="000000"/>
                <w:lang w:eastAsia="en-US"/>
              </w:rPr>
              <w:t>(Payoff)(1/r(1+r)</w:t>
            </w:r>
            <w:r>
              <w:rPr>
                <w:rFonts w:cs="Arial" w:ascii="Arial" w:hAnsi="Arial"/>
                <w:color w:val="000000"/>
                <w:vertAlign w:val="superscript"/>
                <w:lang w:eastAsia="en-US"/>
              </w:rPr>
              <w:t>2</w:t>
            </w:r>
            <w:r>
              <w:rPr>
                <w:rFonts w:cs="Arial" w:ascii="Arial" w:hAnsi="Arial"/>
                <w:color w:val="000000"/>
                <w:lang w:eastAsia="en-US"/>
              </w:rPr>
              <w:t>)</w:t>
            </w:r>
          </w:p>
        </w:tc>
      </w:tr>
      <w:tr>
        <w:trPr>
          <w:trHeight w:val="276" w:hRule="atLeast"/>
        </w:trPr>
        <w:tc>
          <w:tcPr>
            <w:tcW w:w="507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Discounted four times</w:t>
            </w:r>
          </w:p>
        </w:tc>
        <w:tc>
          <w:tcPr>
            <w:tcW w:w="344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color w:val="000000"/>
                <w:lang w:eastAsia="en-US"/>
              </w:rPr>
              <w:t>(Payoff)(1/r(1+r)</w:t>
            </w:r>
            <w:r>
              <w:rPr>
                <w:rFonts w:cs="Arial" w:ascii="Arial" w:hAnsi="Arial"/>
                <w:color w:val="000000"/>
                <w:vertAlign w:val="superscript"/>
                <w:lang w:eastAsia="en-US"/>
              </w:rPr>
              <w:t>3</w:t>
            </w:r>
            <w:r>
              <w:rPr>
                <w:rFonts w:cs="Arial" w:ascii="Arial" w:hAnsi="Arial"/>
                <w:color w:val="000000"/>
                <w:lang w:eastAsia="en-US"/>
              </w:rPr>
              <w:t>)</w:t>
            </w:r>
          </w:p>
        </w:tc>
      </w:tr>
      <w:tr>
        <w:trPr>
          <w:trHeight w:val="276" w:hRule="atLeast"/>
        </w:trPr>
        <w:tc>
          <w:tcPr>
            <w:tcW w:w="507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Discounted five times</w:t>
            </w:r>
          </w:p>
        </w:tc>
        <w:tc>
          <w:tcPr>
            <w:tcW w:w="344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color w:val="000000"/>
                <w:lang w:eastAsia="en-US"/>
              </w:rPr>
              <w:t>(Payoff)(1/r(1+r)</w:t>
            </w:r>
            <w:r>
              <w:rPr>
                <w:rFonts w:cs="Arial" w:ascii="Arial" w:hAnsi="Arial"/>
                <w:color w:val="000000"/>
                <w:vertAlign w:val="superscript"/>
                <w:lang w:eastAsia="en-US"/>
              </w:rPr>
              <w:t>4</w:t>
            </w:r>
            <w:r>
              <w:rPr>
                <w:rFonts w:cs="Arial" w:ascii="Arial" w:hAnsi="Arial"/>
                <w:color w:val="000000"/>
                <w:lang w:eastAsia="en-US"/>
              </w:rPr>
              <w:t>)</w:t>
            </w:r>
          </w:p>
        </w:tc>
      </w:tr>
      <w:tr>
        <w:trPr>
          <w:trHeight w:val="276" w:hRule="atLeast"/>
        </w:trPr>
        <w:tc>
          <w:tcPr>
            <w:tcW w:w="507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Discounted K times</w:t>
            </w:r>
          </w:p>
        </w:tc>
        <w:tc>
          <w:tcPr>
            <w:tcW w:w="344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color w:val="000000"/>
                <w:lang w:eastAsia="en-US"/>
              </w:rPr>
              <w:t>(Payoff)(1/r(1+r)</w:t>
            </w:r>
            <w:r>
              <w:rPr>
                <w:rFonts w:cs="Arial" w:ascii="Arial" w:hAnsi="Arial"/>
                <w:color w:val="000000"/>
                <w:vertAlign w:val="superscript"/>
                <w:lang w:eastAsia="en-US"/>
              </w:rPr>
              <w:t>K-1</w:t>
            </w:r>
            <w:r>
              <w:rPr>
                <w:rFonts w:cs="Arial" w:ascii="Arial" w:hAnsi="Arial"/>
                <w:color w:val="000000"/>
                <w:lang w:eastAsia="en-US"/>
              </w:rPr>
              <w:t>)</w:t>
            </w:r>
          </w:p>
        </w:tc>
      </w:tr>
    </w:tbl>
    <w:p>
      <w:pPr>
        <w:pStyle w:val="Normal"/>
        <w:rPr>
          <w:sz w:val="22"/>
        </w:rPr>
      </w:pPr>
      <w:r>
        <w:rPr>
          <w:sz w:val="22"/>
        </w:rPr>
      </w:r>
    </w:p>
    <w:p>
      <w:pPr>
        <w:pStyle w:val="Normal"/>
        <w:rPr>
          <w:sz w:val="22"/>
        </w:rPr>
      </w:pPr>
      <w:r>
        <w:rPr>
          <w:sz w:val="22"/>
        </w:rPr>
        <w:tab/>
        <w:t>Now let us consider a more complicated example.   Suppose that in the first period you will be receiving $200, in the second period you will receive $300, and in every period after that you will receive $100.   There is an interest rate r, and payments are received at the beginning of each period.  Therefore, the first period payoff is not discounted. Let’s draw a simple time-line of this payoff stream.</w:t>
      </w:r>
    </w:p>
    <w:p>
      <w:pPr>
        <w:pStyle w:val="Normal"/>
        <w:rPr>
          <w:sz w:val="22"/>
        </w:rPr>
      </w:pPr>
      <w:r>
        <w:rPr>
          <w:sz w:val="22"/>
        </w:rPr>
      </w:r>
    </w:p>
    <w:p>
      <w:pPr>
        <w:pStyle w:val="Normal"/>
        <w:rPr>
          <w:sz w:val="22"/>
        </w:rPr>
      </w:pPr>
      <w:r>
        <w:rPr>
          <w:sz w:val="22"/>
        </w:rPr>
      </w:r>
    </w:p>
    <w:p>
      <w:pPr>
        <w:pStyle w:val="Normal"/>
        <w:rPr>
          <w:sz w:val="22"/>
        </w:rPr>
      </w:pPr>
      <w:r>
        <w:rPr>
          <w:sz w:val="22"/>
        </w:rPr>
      </w:r>
    </w:p>
    <w:tbl>
      <w:tblPr>
        <w:tblW w:w="9214" w:type="dxa"/>
        <w:jc w:val="start"/>
        <w:tblInd w:w="0" w:type="dxa"/>
        <w:tblLayout w:type="fixed"/>
        <w:tblCellMar>
          <w:top w:w="0" w:type="dxa"/>
          <w:start w:w="30" w:type="dxa"/>
          <w:bottom w:w="0" w:type="dxa"/>
          <w:end w:w="30" w:type="dxa"/>
        </w:tblCellMar>
      </w:tblPr>
      <w:tblGrid>
        <w:gridCol w:w="1798"/>
        <w:gridCol w:w="614"/>
        <w:gridCol w:w="1042"/>
        <w:gridCol w:w="1152"/>
        <w:gridCol w:w="1152"/>
        <w:gridCol w:w="1152"/>
        <w:gridCol w:w="1152"/>
        <w:gridCol w:w="1152"/>
      </w:tblGrid>
      <w:tr>
        <w:trPr>
          <w:trHeight w:val="319" w:hRule="atLeast"/>
        </w:trPr>
        <w:tc>
          <w:tcPr>
            <w:tcW w:w="1798" w:type="dxa"/>
            <w:tcBorders>
              <w:top w:val="single" w:sz="6" w:space="0" w:color="000000"/>
              <w:start w:val="single" w:sz="6" w:space="0" w:color="000000"/>
              <w:bottom w:val="single" w:sz="12" w:space="0" w:color="000000"/>
              <w:end w:val="single" w:sz="6" w:space="0" w:color="000000"/>
            </w:tcBorders>
          </w:tcPr>
          <w:p>
            <w:pPr>
              <w:pStyle w:val="Normal"/>
              <w:jc w:val="center"/>
              <w:rPr>
                <w:rFonts w:ascii="Arial" w:hAnsi="Arial" w:cs="Arial"/>
                <w:b/>
                <w:color w:val="000000"/>
                <w:sz w:val="24"/>
                <w:lang w:eastAsia="en-US"/>
              </w:rPr>
            </w:pPr>
            <w:r>
              <w:rPr>
                <w:rFonts w:cs="Arial" w:ascii="Arial" w:hAnsi="Arial"/>
                <w:b/>
                <w:color w:val="000000"/>
                <w:sz w:val="24"/>
                <w:lang w:eastAsia="en-US"/>
              </w:rPr>
              <w:t>Period</w:t>
            </w:r>
          </w:p>
        </w:tc>
        <w:tc>
          <w:tcPr>
            <w:tcW w:w="614" w:type="dxa"/>
            <w:tcBorders>
              <w:top w:val="single" w:sz="6" w:space="0" w:color="000000"/>
              <w:start w:val="single" w:sz="6" w:space="0" w:color="000000"/>
              <w:bottom w:val="single" w:sz="12" w:space="0" w:color="000000"/>
              <w:end w:val="single" w:sz="6" w:space="0" w:color="000000"/>
            </w:tcBorders>
          </w:tcPr>
          <w:p>
            <w:pPr>
              <w:pStyle w:val="Normal"/>
              <w:jc w:val="center"/>
              <w:rPr>
                <w:rFonts w:ascii="Arial" w:hAnsi="Arial" w:cs="Arial"/>
                <w:color w:val="000000"/>
                <w:sz w:val="24"/>
                <w:lang w:eastAsia="en-US"/>
              </w:rPr>
            </w:pPr>
            <w:r>
              <w:rPr>
                <w:rFonts w:cs="Arial" w:ascii="Arial" w:hAnsi="Arial"/>
                <w:color w:val="000000"/>
                <w:sz w:val="24"/>
                <w:lang w:eastAsia="en-US"/>
              </w:rPr>
              <w:t>1</w:t>
            </w:r>
          </w:p>
        </w:tc>
        <w:tc>
          <w:tcPr>
            <w:tcW w:w="1042" w:type="dxa"/>
            <w:tcBorders>
              <w:top w:val="single" w:sz="6" w:space="0" w:color="000000"/>
              <w:start w:val="single" w:sz="6" w:space="0" w:color="000000"/>
              <w:bottom w:val="single" w:sz="12" w:space="0" w:color="000000"/>
              <w:end w:val="single" w:sz="6" w:space="0" w:color="000000"/>
            </w:tcBorders>
          </w:tcPr>
          <w:p>
            <w:pPr>
              <w:pStyle w:val="Normal"/>
              <w:jc w:val="center"/>
              <w:rPr>
                <w:rFonts w:ascii="Arial" w:hAnsi="Arial" w:cs="Arial"/>
                <w:color w:val="000000"/>
                <w:sz w:val="24"/>
                <w:lang w:eastAsia="en-US"/>
              </w:rPr>
            </w:pPr>
            <w:r>
              <w:rPr>
                <w:rFonts w:cs="Arial" w:ascii="Arial" w:hAnsi="Arial"/>
                <w:color w:val="000000"/>
                <w:sz w:val="24"/>
                <w:lang w:eastAsia="en-US"/>
              </w:rPr>
              <w:t>2</w:t>
            </w:r>
          </w:p>
        </w:tc>
        <w:tc>
          <w:tcPr>
            <w:tcW w:w="1152" w:type="dxa"/>
            <w:tcBorders>
              <w:top w:val="single" w:sz="6" w:space="0" w:color="000000"/>
              <w:start w:val="single" w:sz="6" w:space="0" w:color="000000"/>
              <w:bottom w:val="single" w:sz="12" w:space="0" w:color="000000"/>
              <w:end w:val="single" w:sz="6" w:space="0" w:color="000000"/>
            </w:tcBorders>
          </w:tcPr>
          <w:p>
            <w:pPr>
              <w:pStyle w:val="Normal"/>
              <w:jc w:val="center"/>
              <w:rPr>
                <w:rFonts w:ascii="Arial" w:hAnsi="Arial" w:cs="Arial"/>
                <w:color w:val="000000"/>
                <w:sz w:val="24"/>
                <w:lang w:eastAsia="en-US"/>
              </w:rPr>
            </w:pPr>
            <w:r>
              <w:rPr>
                <w:rFonts w:cs="Arial" w:ascii="Arial" w:hAnsi="Arial"/>
                <w:color w:val="000000"/>
                <w:sz w:val="24"/>
                <w:lang w:eastAsia="en-US"/>
              </w:rPr>
              <w:t>3</w:t>
            </w:r>
          </w:p>
        </w:tc>
        <w:tc>
          <w:tcPr>
            <w:tcW w:w="1152" w:type="dxa"/>
            <w:tcBorders>
              <w:top w:val="single" w:sz="6" w:space="0" w:color="000000"/>
              <w:start w:val="single" w:sz="6" w:space="0" w:color="000000"/>
              <w:bottom w:val="single" w:sz="12" w:space="0" w:color="000000"/>
              <w:end w:val="single" w:sz="6" w:space="0" w:color="000000"/>
            </w:tcBorders>
          </w:tcPr>
          <w:p>
            <w:pPr>
              <w:pStyle w:val="Normal"/>
              <w:jc w:val="center"/>
              <w:rPr>
                <w:rFonts w:ascii="Arial" w:hAnsi="Arial" w:cs="Arial"/>
                <w:color w:val="000000"/>
                <w:sz w:val="24"/>
                <w:lang w:eastAsia="en-US"/>
              </w:rPr>
            </w:pPr>
            <w:r>
              <w:rPr>
                <w:rFonts w:cs="Arial" w:ascii="Arial" w:hAnsi="Arial"/>
                <w:color w:val="000000"/>
                <w:sz w:val="24"/>
                <w:lang w:eastAsia="en-US"/>
              </w:rPr>
              <w:t>4</w:t>
            </w:r>
          </w:p>
        </w:tc>
        <w:tc>
          <w:tcPr>
            <w:tcW w:w="1152" w:type="dxa"/>
            <w:tcBorders>
              <w:top w:val="single" w:sz="6" w:space="0" w:color="000000"/>
              <w:start w:val="single" w:sz="6" w:space="0" w:color="000000"/>
              <w:bottom w:val="single" w:sz="12" w:space="0" w:color="000000"/>
              <w:end w:val="single" w:sz="6" w:space="0" w:color="000000"/>
            </w:tcBorders>
          </w:tcPr>
          <w:p>
            <w:pPr>
              <w:pStyle w:val="Normal"/>
              <w:jc w:val="center"/>
              <w:rPr>
                <w:rFonts w:ascii="Arial" w:hAnsi="Arial" w:cs="Arial"/>
                <w:color w:val="000000"/>
                <w:sz w:val="24"/>
                <w:lang w:eastAsia="en-US"/>
              </w:rPr>
            </w:pPr>
            <w:r>
              <w:rPr>
                <w:rFonts w:cs="Arial" w:ascii="Arial" w:hAnsi="Arial"/>
                <w:color w:val="000000"/>
                <w:sz w:val="24"/>
                <w:lang w:eastAsia="en-US"/>
              </w:rPr>
              <w:t>5</w:t>
            </w:r>
          </w:p>
        </w:tc>
        <w:tc>
          <w:tcPr>
            <w:tcW w:w="1152" w:type="dxa"/>
            <w:tcBorders>
              <w:top w:val="single" w:sz="6" w:space="0" w:color="000000"/>
              <w:start w:val="single" w:sz="6" w:space="0" w:color="000000"/>
              <w:bottom w:val="single" w:sz="12" w:space="0" w:color="000000"/>
              <w:end w:val="single" w:sz="6" w:space="0" w:color="000000"/>
            </w:tcBorders>
          </w:tcPr>
          <w:p>
            <w:pPr>
              <w:pStyle w:val="Normal"/>
              <w:jc w:val="center"/>
              <w:rPr>
                <w:rFonts w:ascii="Arial" w:hAnsi="Arial" w:cs="Arial"/>
                <w:color w:val="000000"/>
                <w:sz w:val="24"/>
                <w:lang w:eastAsia="en-US"/>
              </w:rPr>
            </w:pPr>
            <w:r>
              <w:rPr>
                <w:rFonts w:cs="Arial" w:ascii="Arial" w:hAnsi="Arial"/>
                <w:color w:val="000000"/>
                <w:sz w:val="24"/>
                <w:lang w:eastAsia="en-US"/>
              </w:rPr>
              <w:t>6</w:t>
            </w:r>
          </w:p>
        </w:tc>
        <w:tc>
          <w:tcPr>
            <w:tcW w:w="1152" w:type="dxa"/>
            <w:tcBorders>
              <w:top w:val="single" w:sz="6" w:space="0" w:color="000000"/>
              <w:start w:val="single" w:sz="6" w:space="0" w:color="000000"/>
              <w:bottom w:val="single" w:sz="12" w:space="0" w:color="000000"/>
              <w:end w:val="single" w:sz="6" w:space="0" w:color="000000"/>
            </w:tcBorders>
          </w:tcPr>
          <w:p>
            <w:pPr>
              <w:pStyle w:val="Normal"/>
              <w:jc w:val="center"/>
              <w:rPr>
                <w:rFonts w:ascii="Arial" w:hAnsi="Arial" w:cs="Arial"/>
                <w:color w:val="000000"/>
                <w:sz w:val="24"/>
                <w:lang w:eastAsia="en-US"/>
              </w:rPr>
            </w:pPr>
            <w:r>
              <w:rPr>
                <w:rFonts w:cs="Arial" w:ascii="Arial" w:hAnsi="Arial"/>
                <w:color w:val="000000"/>
                <w:sz w:val="24"/>
                <w:lang w:eastAsia="en-US"/>
              </w:rPr>
              <w:t>7</w:t>
            </w:r>
          </w:p>
        </w:tc>
      </w:tr>
      <w:tr>
        <w:trPr>
          <w:trHeight w:val="305" w:hRule="atLeast"/>
        </w:trPr>
        <w:tc>
          <w:tcPr>
            <w:tcW w:w="1798" w:type="dxa"/>
            <w:tcBorders>
              <w:start w:val="single" w:sz="6" w:space="0" w:color="000000"/>
              <w:bottom w:val="single" w:sz="6" w:space="0" w:color="000000"/>
              <w:end w:val="single" w:sz="6" w:space="0" w:color="000000"/>
            </w:tcBorders>
          </w:tcPr>
          <w:p>
            <w:pPr>
              <w:pStyle w:val="Normal"/>
              <w:jc w:val="center"/>
              <w:rPr>
                <w:rFonts w:ascii="Arial" w:hAnsi="Arial" w:cs="Arial"/>
                <w:b/>
                <w:color w:val="000000"/>
                <w:sz w:val="24"/>
                <w:lang w:eastAsia="en-US"/>
              </w:rPr>
            </w:pPr>
            <w:r>
              <w:rPr>
                <w:rFonts w:cs="Arial" w:ascii="Arial" w:hAnsi="Arial"/>
                <w:b/>
                <w:color w:val="000000"/>
                <w:sz w:val="24"/>
                <w:lang w:eastAsia="en-US"/>
              </w:rPr>
              <w:t>Payoff</w:t>
            </w:r>
          </w:p>
        </w:tc>
        <w:tc>
          <w:tcPr>
            <w:tcW w:w="614"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 xml:space="preserve">$200 </w:t>
            </w:r>
          </w:p>
        </w:tc>
        <w:tc>
          <w:tcPr>
            <w:tcW w:w="1042"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 xml:space="preserve">$300 </w:t>
            </w:r>
          </w:p>
        </w:tc>
        <w:tc>
          <w:tcPr>
            <w:tcW w:w="1152"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 xml:space="preserve">$100 </w:t>
            </w:r>
          </w:p>
        </w:tc>
        <w:tc>
          <w:tcPr>
            <w:tcW w:w="1152"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 xml:space="preserve">$100 </w:t>
            </w:r>
          </w:p>
        </w:tc>
        <w:tc>
          <w:tcPr>
            <w:tcW w:w="1152"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 xml:space="preserve">$100 </w:t>
            </w:r>
          </w:p>
        </w:tc>
        <w:tc>
          <w:tcPr>
            <w:tcW w:w="1152"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 xml:space="preserve">$100 </w:t>
            </w:r>
          </w:p>
        </w:tc>
        <w:tc>
          <w:tcPr>
            <w:tcW w:w="1152"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 xml:space="preserve">$100 </w:t>
            </w:r>
          </w:p>
        </w:tc>
      </w:tr>
      <w:tr>
        <w:trPr>
          <w:trHeight w:val="667" w:hRule="atLeast"/>
        </w:trPr>
        <w:tc>
          <w:tcPr>
            <w:tcW w:w="17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sz w:val="24"/>
                <w:lang w:eastAsia="en-US"/>
              </w:rPr>
            </w:pPr>
            <w:r>
              <w:rPr>
                <w:rFonts w:cs="Arial" w:ascii="Arial" w:hAnsi="Arial"/>
                <w:b/>
                <w:color w:val="000000"/>
                <w:sz w:val="24"/>
                <w:lang w:eastAsia="en-US"/>
              </w:rPr>
              <w:t>Discounted Present Value</w:t>
            </w:r>
          </w:p>
        </w:tc>
        <w:tc>
          <w:tcPr>
            <w:tcW w:w="614"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$200 </w:t>
            </w:r>
          </w:p>
        </w:tc>
        <w:tc>
          <w:tcPr>
            <w:tcW w:w="104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$300/(1+r)</w:t>
            </w:r>
          </w:p>
        </w:tc>
        <w:tc>
          <w:tcPr>
            <w:tcW w:w="11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$100/(1+r)2</w:t>
            </w:r>
          </w:p>
        </w:tc>
        <w:tc>
          <w:tcPr>
            <w:tcW w:w="11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$100/(1+r)3</w:t>
            </w:r>
          </w:p>
        </w:tc>
        <w:tc>
          <w:tcPr>
            <w:tcW w:w="11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$100/(1+r)4</w:t>
            </w:r>
          </w:p>
        </w:tc>
        <w:tc>
          <w:tcPr>
            <w:tcW w:w="11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$100/(1+r)5</w:t>
            </w:r>
          </w:p>
        </w:tc>
        <w:tc>
          <w:tcPr>
            <w:tcW w:w="11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$100/(1+r)6</w:t>
            </w:r>
          </w:p>
        </w:tc>
      </w:tr>
    </w:tbl>
    <w:p>
      <w:pPr>
        <w:pStyle w:val="Normal"/>
        <w:rPr>
          <w:sz w:val="22"/>
        </w:rPr>
      </w:pPr>
      <w:r>
        <w:rPr>
          <w:sz w:val="22"/>
        </w:rPr>
        <w:tab/>
      </w:r>
    </w:p>
    <w:p>
      <w:pPr>
        <w:pStyle w:val="Normal"/>
        <w:jc w:val="center"/>
        <w:rPr>
          <w:b/>
          <w:sz w:val="24"/>
        </w:rPr>
      </w:pPr>
      <w:r>
        <w:rPr>
          <w:b/>
          <w:sz w:val="24"/>
        </w:rPr>
        <w:t>Note: First Period Not Discounted!!!</w:t>
      </w:r>
    </w:p>
    <w:p>
      <w:pPr>
        <w:pStyle w:val="Normal"/>
        <w:ind w:firstLine="720" w:end="0"/>
        <w:rPr>
          <w:b/>
          <w:sz w:val="22"/>
        </w:rPr>
      </w:pPr>
      <w:r>
        <w:rPr>
          <w:b/>
          <w:sz w:val="22"/>
        </w:rPr>
      </w:r>
    </w:p>
    <w:p>
      <w:pPr>
        <w:pStyle w:val="Normal"/>
        <w:ind w:firstLine="720" w:end="0"/>
        <w:rPr>
          <w:sz w:val="22"/>
        </w:rPr>
      </w:pPr>
      <w:r>
        <w:rPr>
          <w:sz w:val="22"/>
        </w:rPr>
        <w:t xml:space="preserve">We can now calculate the present value of the above infinite payoff stream. It is $200 + $300/(1+r) + the infinite series of $100 payoffs starting in a doubly discounted period.  This series, from our earlier findings, is $100/r(1+r).  Therefore, our total present value for this infinite payoff stream is $200 + $300/(1+r) + $100/r(1+r).  </w:t>
      </w:r>
    </w:p>
    <w:p>
      <w:pPr>
        <w:pStyle w:val="Normal"/>
        <w:rPr>
          <w:sz w:val="22"/>
        </w:rPr>
      </w:pPr>
      <w:r>
        <w:rPr>
          <w:sz w:val="22"/>
        </w:rPr>
      </w:r>
    </w:p>
    <w:p>
      <w:pPr>
        <w:pStyle w:val="Normal"/>
        <w:rPr/>
      </w:pPr>
      <w:r>
        <w:rPr>
          <w:sz w:val="22"/>
        </w:rPr>
        <w:tab/>
        <w:t xml:space="preserve">You will note that in the problem sets, generally these problems are about firms and the payoffs are profits.   </w:t>
      </w:r>
      <w:r>
        <w:rPr>
          <w:b/>
          <w:sz w:val="22"/>
        </w:rPr>
        <w:t>When the profit is earned at the end of the year, then the first period profit is discounted once.</w:t>
      </w:r>
      <w:r>
        <w:rPr>
          <w:sz w:val="22"/>
        </w:rPr>
        <w:t xml:space="preserve">  This is because an entire year goes by before the money is realized, a year where interest could have been earned.   Thus in this case, the second period is discounted twice and so on.  When this is the case, you can treat the first period profit as the second period payoff.  </w:t>
      </w:r>
    </w:p>
    <w:p>
      <w:pPr>
        <w:pStyle w:val="Normal"/>
        <w:rPr>
          <w:sz w:val="22"/>
        </w:rPr>
      </w:pPr>
      <w:r>
        <w:rPr>
          <w:sz w:val="22"/>
        </w:rPr>
      </w:r>
    </w:p>
    <w:p>
      <w:pPr>
        <w:pStyle w:val="Normal"/>
        <w:ind w:firstLine="720" w:end="0"/>
        <w:rPr>
          <w:sz w:val="22"/>
        </w:rPr>
      </w:pPr>
      <w:r>
        <w:rPr>
          <w:sz w:val="22"/>
        </w:rPr>
        <w:t>Now consider a case similar to those problems in the problem set.  Here a firm is trying to choose whether or not to defect from a collusive agreement.    If he colludes, he earns a profit of $400.  If he defects and everyone else colludes, he earns $5000.   For every period after he defects, he earns $100.    He earns his profits at the end of the period.  There is an interest rate r.  He must now consider whether his present value of defecting is higher than his present value of colluding.   Let’s draw another table. (We will once again go only through the seventh period for space considerations)</w:t>
      </w:r>
    </w:p>
    <w:p>
      <w:pPr>
        <w:pStyle w:val="Normal"/>
        <w:ind w:firstLine="720" w:end="0"/>
        <w:rPr>
          <w:sz w:val="22"/>
        </w:rPr>
      </w:pPr>
      <w:r>
        <w:rPr>
          <w:sz w:val="22"/>
        </w:rPr>
      </w:r>
    </w:p>
    <w:tbl>
      <w:tblPr>
        <w:tblW w:w="9737" w:type="dxa"/>
        <w:jc w:val="start"/>
        <w:tblInd w:w="0" w:type="dxa"/>
        <w:tblLayout w:type="fixed"/>
        <w:tblCellMar>
          <w:top w:w="0" w:type="dxa"/>
          <w:start w:w="30" w:type="dxa"/>
          <w:bottom w:w="0" w:type="dxa"/>
          <w:end w:w="30" w:type="dxa"/>
        </w:tblCellMar>
      </w:tblPr>
      <w:tblGrid>
        <w:gridCol w:w="1860"/>
        <w:gridCol w:w="1152"/>
        <w:gridCol w:w="1121"/>
        <w:gridCol w:w="1121"/>
        <w:gridCol w:w="1120"/>
        <w:gridCol w:w="1121"/>
        <w:gridCol w:w="1121"/>
        <w:gridCol w:w="1121"/>
      </w:tblGrid>
      <w:tr>
        <w:trPr>
          <w:trHeight w:val="319" w:hRule="atLeast"/>
        </w:trPr>
        <w:tc>
          <w:tcPr>
            <w:tcW w:w="1860" w:type="dxa"/>
            <w:tcBorders>
              <w:top w:val="single" w:sz="6" w:space="0" w:color="000000"/>
              <w:start w:val="single" w:sz="6" w:space="0" w:color="000000"/>
              <w:bottom w:val="single" w:sz="12" w:space="0" w:color="000000"/>
              <w:end w:val="single" w:sz="6" w:space="0" w:color="000000"/>
            </w:tcBorders>
          </w:tcPr>
          <w:p>
            <w:pPr>
              <w:pStyle w:val="Normal"/>
              <w:jc w:val="center"/>
              <w:rPr>
                <w:rFonts w:ascii="Arial" w:hAnsi="Arial" w:cs="Arial"/>
                <w:b/>
                <w:color w:val="000000"/>
                <w:sz w:val="24"/>
                <w:lang w:eastAsia="en-US"/>
              </w:rPr>
            </w:pPr>
            <w:r>
              <w:rPr>
                <w:rFonts w:cs="Arial" w:ascii="Arial" w:hAnsi="Arial"/>
                <w:b/>
                <w:color w:val="000000"/>
                <w:sz w:val="24"/>
                <w:lang w:eastAsia="en-US"/>
              </w:rPr>
              <w:t>Period</w:t>
            </w:r>
          </w:p>
        </w:tc>
        <w:tc>
          <w:tcPr>
            <w:tcW w:w="1152" w:type="dxa"/>
            <w:tcBorders>
              <w:top w:val="single" w:sz="6" w:space="0" w:color="000000"/>
              <w:start w:val="single" w:sz="6" w:space="0" w:color="000000"/>
              <w:bottom w:val="single" w:sz="12" w:space="0" w:color="000000"/>
              <w:end w:val="single" w:sz="6" w:space="0" w:color="000000"/>
            </w:tcBorders>
          </w:tcPr>
          <w:p>
            <w:pPr>
              <w:pStyle w:val="Normal"/>
              <w:jc w:val="center"/>
              <w:rPr>
                <w:rFonts w:ascii="Arial" w:hAnsi="Arial" w:cs="Arial"/>
                <w:color w:val="000000"/>
                <w:sz w:val="24"/>
                <w:lang w:eastAsia="en-US"/>
              </w:rPr>
            </w:pPr>
            <w:r>
              <w:rPr>
                <w:rFonts w:cs="Arial" w:ascii="Arial" w:hAnsi="Arial"/>
                <w:color w:val="000000"/>
                <w:sz w:val="24"/>
                <w:lang w:eastAsia="en-US"/>
              </w:rPr>
              <w:t>1</w:t>
            </w:r>
          </w:p>
        </w:tc>
        <w:tc>
          <w:tcPr>
            <w:tcW w:w="1121" w:type="dxa"/>
            <w:tcBorders>
              <w:top w:val="single" w:sz="6" w:space="0" w:color="000000"/>
              <w:start w:val="single" w:sz="6" w:space="0" w:color="000000"/>
              <w:bottom w:val="single" w:sz="12" w:space="0" w:color="000000"/>
              <w:end w:val="single" w:sz="6" w:space="0" w:color="000000"/>
            </w:tcBorders>
          </w:tcPr>
          <w:p>
            <w:pPr>
              <w:pStyle w:val="Normal"/>
              <w:jc w:val="center"/>
              <w:rPr>
                <w:rFonts w:ascii="Arial" w:hAnsi="Arial" w:cs="Arial"/>
                <w:color w:val="000000"/>
                <w:sz w:val="24"/>
                <w:lang w:eastAsia="en-US"/>
              </w:rPr>
            </w:pPr>
            <w:r>
              <w:rPr>
                <w:rFonts w:cs="Arial" w:ascii="Arial" w:hAnsi="Arial"/>
                <w:color w:val="000000"/>
                <w:sz w:val="24"/>
                <w:lang w:eastAsia="en-US"/>
              </w:rPr>
              <w:t>2</w:t>
            </w:r>
          </w:p>
        </w:tc>
        <w:tc>
          <w:tcPr>
            <w:tcW w:w="1121" w:type="dxa"/>
            <w:tcBorders>
              <w:top w:val="single" w:sz="6" w:space="0" w:color="000000"/>
              <w:start w:val="single" w:sz="6" w:space="0" w:color="000000"/>
              <w:bottom w:val="single" w:sz="12" w:space="0" w:color="000000"/>
              <w:end w:val="single" w:sz="6" w:space="0" w:color="000000"/>
            </w:tcBorders>
          </w:tcPr>
          <w:p>
            <w:pPr>
              <w:pStyle w:val="Normal"/>
              <w:jc w:val="center"/>
              <w:rPr>
                <w:rFonts w:ascii="Arial" w:hAnsi="Arial" w:cs="Arial"/>
                <w:color w:val="000000"/>
                <w:sz w:val="24"/>
                <w:lang w:eastAsia="en-US"/>
              </w:rPr>
            </w:pPr>
            <w:r>
              <w:rPr>
                <w:rFonts w:cs="Arial" w:ascii="Arial" w:hAnsi="Arial"/>
                <w:color w:val="000000"/>
                <w:sz w:val="24"/>
                <w:lang w:eastAsia="en-US"/>
              </w:rPr>
              <w:t>3</w:t>
            </w:r>
          </w:p>
        </w:tc>
        <w:tc>
          <w:tcPr>
            <w:tcW w:w="1120" w:type="dxa"/>
            <w:tcBorders>
              <w:top w:val="single" w:sz="6" w:space="0" w:color="000000"/>
              <w:start w:val="single" w:sz="6" w:space="0" w:color="000000"/>
              <w:bottom w:val="single" w:sz="12" w:space="0" w:color="000000"/>
              <w:end w:val="single" w:sz="6" w:space="0" w:color="000000"/>
            </w:tcBorders>
          </w:tcPr>
          <w:p>
            <w:pPr>
              <w:pStyle w:val="Normal"/>
              <w:jc w:val="center"/>
              <w:rPr>
                <w:rFonts w:ascii="Arial" w:hAnsi="Arial" w:cs="Arial"/>
                <w:color w:val="000000"/>
                <w:sz w:val="24"/>
                <w:lang w:eastAsia="en-US"/>
              </w:rPr>
            </w:pPr>
            <w:r>
              <w:rPr>
                <w:rFonts w:cs="Arial" w:ascii="Arial" w:hAnsi="Arial"/>
                <w:color w:val="000000"/>
                <w:sz w:val="24"/>
                <w:lang w:eastAsia="en-US"/>
              </w:rPr>
              <w:t>4</w:t>
            </w:r>
          </w:p>
        </w:tc>
        <w:tc>
          <w:tcPr>
            <w:tcW w:w="1121" w:type="dxa"/>
            <w:tcBorders>
              <w:top w:val="single" w:sz="6" w:space="0" w:color="000000"/>
              <w:start w:val="single" w:sz="6" w:space="0" w:color="000000"/>
              <w:bottom w:val="single" w:sz="12" w:space="0" w:color="000000"/>
              <w:end w:val="single" w:sz="6" w:space="0" w:color="000000"/>
            </w:tcBorders>
          </w:tcPr>
          <w:p>
            <w:pPr>
              <w:pStyle w:val="Normal"/>
              <w:jc w:val="center"/>
              <w:rPr>
                <w:rFonts w:ascii="Arial" w:hAnsi="Arial" w:cs="Arial"/>
                <w:color w:val="000000"/>
                <w:sz w:val="24"/>
                <w:lang w:eastAsia="en-US"/>
              </w:rPr>
            </w:pPr>
            <w:r>
              <w:rPr>
                <w:rFonts w:cs="Arial" w:ascii="Arial" w:hAnsi="Arial"/>
                <w:color w:val="000000"/>
                <w:sz w:val="24"/>
                <w:lang w:eastAsia="en-US"/>
              </w:rPr>
              <w:t>5</w:t>
            </w:r>
          </w:p>
        </w:tc>
        <w:tc>
          <w:tcPr>
            <w:tcW w:w="1121" w:type="dxa"/>
            <w:tcBorders>
              <w:top w:val="single" w:sz="6" w:space="0" w:color="000000"/>
              <w:start w:val="single" w:sz="6" w:space="0" w:color="000000"/>
              <w:bottom w:val="single" w:sz="12" w:space="0" w:color="000000"/>
              <w:end w:val="single" w:sz="6" w:space="0" w:color="000000"/>
            </w:tcBorders>
          </w:tcPr>
          <w:p>
            <w:pPr>
              <w:pStyle w:val="Normal"/>
              <w:jc w:val="center"/>
              <w:rPr>
                <w:rFonts w:ascii="Arial" w:hAnsi="Arial" w:cs="Arial"/>
                <w:color w:val="000000"/>
                <w:sz w:val="24"/>
                <w:lang w:eastAsia="en-US"/>
              </w:rPr>
            </w:pPr>
            <w:r>
              <w:rPr>
                <w:rFonts w:cs="Arial" w:ascii="Arial" w:hAnsi="Arial"/>
                <w:color w:val="000000"/>
                <w:sz w:val="24"/>
                <w:lang w:eastAsia="en-US"/>
              </w:rPr>
              <w:t>6</w:t>
            </w:r>
          </w:p>
        </w:tc>
        <w:tc>
          <w:tcPr>
            <w:tcW w:w="1121" w:type="dxa"/>
            <w:tcBorders>
              <w:top w:val="single" w:sz="6" w:space="0" w:color="000000"/>
              <w:start w:val="single" w:sz="6" w:space="0" w:color="000000"/>
              <w:bottom w:val="single" w:sz="12" w:space="0" w:color="000000"/>
              <w:end w:val="single" w:sz="6" w:space="0" w:color="000000"/>
            </w:tcBorders>
          </w:tcPr>
          <w:p>
            <w:pPr>
              <w:pStyle w:val="Normal"/>
              <w:jc w:val="center"/>
              <w:rPr>
                <w:rFonts w:ascii="Arial" w:hAnsi="Arial" w:cs="Arial"/>
                <w:color w:val="000000"/>
                <w:sz w:val="24"/>
                <w:lang w:eastAsia="en-US"/>
              </w:rPr>
            </w:pPr>
            <w:r>
              <w:rPr>
                <w:rFonts w:cs="Arial" w:ascii="Arial" w:hAnsi="Arial"/>
                <w:color w:val="000000"/>
                <w:sz w:val="24"/>
                <w:lang w:eastAsia="en-US"/>
              </w:rPr>
              <w:t>7</w:t>
            </w:r>
          </w:p>
        </w:tc>
      </w:tr>
      <w:tr>
        <w:trPr>
          <w:trHeight w:val="610" w:hRule="atLeast"/>
        </w:trPr>
        <w:tc>
          <w:tcPr>
            <w:tcW w:w="186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sz w:val="24"/>
                <w:lang w:eastAsia="en-US"/>
              </w:rPr>
            </w:pPr>
            <w:r>
              <w:rPr>
                <w:rFonts w:cs="Arial" w:ascii="Arial" w:hAnsi="Arial"/>
                <w:b/>
                <w:color w:val="000000"/>
                <w:sz w:val="24"/>
                <w:lang w:eastAsia="en-US"/>
              </w:rPr>
              <w:t>Payoff from Collusion</w:t>
            </w:r>
          </w:p>
        </w:tc>
        <w:tc>
          <w:tcPr>
            <w:tcW w:w="1152"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 xml:space="preserve">$400 </w:t>
            </w:r>
          </w:p>
        </w:tc>
        <w:tc>
          <w:tcPr>
            <w:tcW w:w="1121"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 xml:space="preserve">$400 </w:t>
            </w:r>
          </w:p>
        </w:tc>
        <w:tc>
          <w:tcPr>
            <w:tcW w:w="1121"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 xml:space="preserve">$400 </w:t>
            </w:r>
          </w:p>
        </w:tc>
        <w:tc>
          <w:tcPr>
            <w:tcW w:w="1120"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 xml:space="preserve">$400 </w:t>
            </w:r>
          </w:p>
        </w:tc>
        <w:tc>
          <w:tcPr>
            <w:tcW w:w="1121"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 xml:space="preserve">$400 </w:t>
            </w:r>
          </w:p>
        </w:tc>
        <w:tc>
          <w:tcPr>
            <w:tcW w:w="1121"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 xml:space="preserve">$400 </w:t>
            </w:r>
          </w:p>
        </w:tc>
        <w:tc>
          <w:tcPr>
            <w:tcW w:w="1121"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 xml:space="preserve">$400 </w:t>
            </w:r>
          </w:p>
        </w:tc>
      </w:tr>
      <w:tr>
        <w:trPr>
          <w:trHeight w:val="624" w:hRule="atLeast"/>
        </w:trPr>
        <w:tc>
          <w:tcPr>
            <w:tcW w:w="18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sz w:val="24"/>
                <w:lang w:eastAsia="en-US"/>
              </w:rPr>
            </w:pPr>
            <w:r>
              <w:rPr>
                <w:rFonts w:cs="Arial" w:ascii="Arial" w:hAnsi="Arial"/>
                <w:b/>
                <w:color w:val="000000"/>
                <w:sz w:val="24"/>
                <w:lang w:eastAsia="en-US"/>
              </w:rPr>
              <w:t>Discounted Present Value from Collusion</w:t>
            </w:r>
          </w:p>
        </w:tc>
        <w:tc>
          <w:tcPr>
            <w:tcW w:w="11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400/(1+r)</w:t>
            </w:r>
          </w:p>
        </w:tc>
        <w:tc>
          <w:tcPr>
            <w:tcW w:w="1121"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color w:val="000000"/>
                <w:lang w:eastAsia="en-US"/>
              </w:rPr>
              <w:t>$400/(1+r)</w:t>
            </w:r>
            <w:r>
              <w:rPr>
                <w:rFonts w:cs="Arial" w:ascii="Arial" w:hAnsi="Arial"/>
                <w:color w:val="000000"/>
                <w:vertAlign w:val="superscript"/>
                <w:lang w:eastAsia="en-US"/>
              </w:rPr>
              <w:t>2</w:t>
            </w:r>
          </w:p>
        </w:tc>
        <w:tc>
          <w:tcPr>
            <w:tcW w:w="1121"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color w:val="000000"/>
                <w:lang w:eastAsia="en-US"/>
              </w:rPr>
              <w:t>$400/(1+r)</w:t>
            </w:r>
            <w:r>
              <w:rPr>
                <w:rFonts w:cs="Arial" w:ascii="Arial" w:hAnsi="Arial"/>
                <w:color w:val="000000"/>
                <w:vertAlign w:val="superscript"/>
                <w:lang w:eastAsia="en-US"/>
              </w:rPr>
              <w:t>3</w:t>
            </w:r>
          </w:p>
        </w:tc>
        <w:tc>
          <w:tcPr>
            <w:tcW w:w="1120"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color w:val="000000"/>
                <w:lang w:eastAsia="en-US"/>
              </w:rPr>
              <w:t>$400/(1+r)</w:t>
            </w:r>
            <w:r>
              <w:rPr>
                <w:rFonts w:cs="Arial" w:ascii="Arial" w:hAnsi="Arial"/>
                <w:color w:val="000000"/>
                <w:vertAlign w:val="superscript"/>
                <w:lang w:eastAsia="en-US"/>
              </w:rPr>
              <w:t>4</w:t>
            </w:r>
          </w:p>
        </w:tc>
        <w:tc>
          <w:tcPr>
            <w:tcW w:w="1121"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color w:val="000000"/>
                <w:lang w:eastAsia="en-US"/>
              </w:rPr>
              <w:t>$400/(1+r)</w:t>
            </w:r>
            <w:r>
              <w:rPr>
                <w:rFonts w:cs="Arial" w:ascii="Arial" w:hAnsi="Arial"/>
                <w:color w:val="000000"/>
                <w:vertAlign w:val="superscript"/>
                <w:lang w:eastAsia="en-US"/>
              </w:rPr>
              <w:t>5</w:t>
            </w:r>
          </w:p>
        </w:tc>
        <w:tc>
          <w:tcPr>
            <w:tcW w:w="1121"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color w:val="000000"/>
                <w:lang w:eastAsia="en-US"/>
              </w:rPr>
              <w:t>$400/(1+r)</w:t>
            </w:r>
            <w:r>
              <w:rPr>
                <w:rFonts w:cs="Arial" w:ascii="Arial" w:hAnsi="Arial"/>
                <w:color w:val="000000"/>
                <w:vertAlign w:val="superscript"/>
                <w:lang w:eastAsia="en-US"/>
              </w:rPr>
              <w:t>6</w:t>
            </w:r>
          </w:p>
        </w:tc>
        <w:tc>
          <w:tcPr>
            <w:tcW w:w="1121"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color w:val="000000"/>
                <w:lang w:eastAsia="en-US"/>
              </w:rPr>
              <w:t>$400/(1+r)</w:t>
            </w:r>
            <w:r>
              <w:rPr>
                <w:rFonts w:cs="Arial" w:ascii="Arial" w:hAnsi="Arial"/>
                <w:color w:val="000000"/>
                <w:vertAlign w:val="superscript"/>
                <w:lang w:eastAsia="en-US"/>
              </w:rPr>
              <w:t>7</w:t>
            </w:r>
          </w:p>
        </w:tc>
      </w:tr>
      <w:tr>
        <w:trPr>
          <w:trHeight w:val="610" w:hRule="atLeast"/>
        </w:trPr>
        <w:tc>
          <w:tcPr>
            <w:tcW w:w="18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sz w:val="24"/>
                <w:lang w:eastAsia="en-US"/>
              </w:rPr>
            </w:pPr>
            <w:r>
              <w:rPr>
                <w:rFonts w:cs="Arial" w:ascii="Arial" w:hAnsi="Arial"/>
                <w:b/>
                <w:color w:val="000000"/>
                <w:sz w:val="24"/>
                <w:lang w:eastAsia="en-US"/>
              </w:rPr>
              <w:t>Payoff from Defection</w:t>
            </w:r>
          </w:p>
        </w:tc>
        <w:tc>
          <w:tcPr>
            <w:tcW w:w="115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$5,000 </w:t>
            </w:r>
          </w:p>
        </w:tc>
        <w:tc>
          <w:tcPr>
            <w:tcW w:w="112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$100 </w:t>
            </w:r>
          </w:p>
        </w:tc>
        <w:tc>
          <w:tcPr>
            <w:tcW w:w="112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$100 </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$100 </w:t>
            </w:r>
          </w:p>
        </w:tc>
        <w:tc>
          <w:tcPr>
            <w:tcW w:w="112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$100 </w:t>
            </w:r>
          </w:p>
        </w:tc>
        <w:tc>
          <w:tcPr>
            <w:tcW w:w="112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$100 </w:t>
            </w:r>
          </w:p>
        </w:tc>
        <w:tc>
          <w:tcPr>
            <w:tcW w:w="112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$100 </w:t>
            </w:r>
          </w:p>
        </w:tc>
      </w:tr>
      <w:tr>
        <w:trPr>
          <w:trHeight w:val="1222" w:hRule="atLeast"/>
        </w:trPr>
        <w:tc>
          <w:tcPr>
            <w:tcW w:w="18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sz w:val="24"/>
                <w:lang w:eastAsia="en-US"/>
              </w:rPr>
            </w:pPr>
            <w:r>
              <w:rPr>
                <w:rFonts w:cs="Arial" w:ascii="Arial" w:hAnsi="Arial"/>
                <w:b/>
                <w:color w:val="000000"/>
                <w:sz w:val="24"/>
                <w:lang w:eastAsia="en-US"/>
              </w:rPr>
              <w:t>Discounted Present Value from Defection</w:t>
            </w:r>
          </w:p>
        </w:tc>
        <w:tc>
          <w:tcPr>
            <w:tcW w:w="11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$5000/(1+r)</w:t>
            </w:r>
          </w:p>
        </w:tc>
        <w:tc>
          <w:tcPr>
            <w:tcW w:w="1121"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color w:val="000000"/>
                <w:lang w:eastAsia="en-US"/>
              </w:rPr>
              <w:t>$100/(1+r)</w:t>
            </w:r>
            <w:r>
              <w:rPr>
                <w:rFonts w:cs="Arial" w:ascii="Arial" w:hAnsi="Arial"/>
                <w:color w:val="000000"/>
                <w:vertAlign w:val="superscript"/>
                <w:lang w:eastAsia="en-US"/>
              </w:rPr>
              <w:t>2</w:t>
            </w:r>
          </w:p>
        </w:tc>
        <w:tc>
          <w:tcPr>
            <w:tcW w:w="1121"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color w:val="000000"/>
                <w:lang w:eastAsia="en-US"/>
              </w:rPr>
              <w:t>$100/(1+r)</w:t>
            </w:r>
            <w:r>
              <w:rPr>
                <w:rFonts w:cs="Arial" w:ascii="Arial" w:hAnsi="Arial"/>
                <w:color w:val="000000"/>
                <w:vertAlign w:val="superscript"/>
                <w:lang w:eastAsia="en-US"/>
              </w:rPr>
              <w:t>3</w:t>
            </w:r>
          </w:p>
        </w:tc>
        <w:tc>
          <w:tcPr>
            <w:tcW w:w="1120"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color w:val="000000"/>
                <w:lang w:eastAsia="en-US"/>
              </w:rPr>
              <w:t>$100/(1+r)</w:t>
            </w:r>
            <w:r>
              <w:rPr>
                <w:rFonts w:cs="Arial" w:ascii="Arial" w:hAnsi="Arial"/>
                <w:color w:val="000000"/>
                <w:vertAlign w:val="superscript"/>
                <w:lang w:eastAsia="en-US"/>
              </w:rPr>
              <w:t>4</w:t>
            </w:r>
          </w:p>
        </w:tc>
        <w:tc>
          <w:tcPr>
            <w:tcW w:w="1121"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color w:val="000000"/>
                <w:lang w:eastAsia="en-US"/>
              </w:rPr>
              <w:t>$100/(1+r)</w:t>
            </w:r>
            <w:r>
              <w:rPr>
                <w:rFonts w:cs="Arial" w:ascii="Arial" w:hAnsi="Arial"/>
                <w:color w:val="000000"/>
                <w:vertAlign w:val="superscript"/>
                <w:lang w:eastAsia="en-US"/>
              </w:rPr>
              <w:t>5</w:t>
            </w:r>
          </w:p>
        </w:tc>
        <w:tc>
          <w:tcPr>
            <w:tcW w:w="1121"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color w:val="000000"/>
                <w:lang w:eastAsia="en-US"/>
              </w:rPr>
              <w:t>$100/(1+r)</w:t>
            </w:r>
            <w:r>
              <w:rPr>
                <w:rFonts w:cs="Arial" w:ascii="Arial" w:hAnsi="Arial"/>
                <w:color w:val="000000"/>
                <w:vertAlign w:val="superscript"/>
                <w:lang w:eastAsia="en-US"/>
              </w:rPr>
              <w:t>6</w:t>
            </w:r>
          </w:p>
        </w:tc>
        <w:tc>
          <w:tcPr>
            <w:tcW w:w="1121"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color w:val="000000"/>
                <w:lang w:eastAsia="en-US"/>
              </w:rPr>
              <w:t>$100/(1+r)</w:t>
            </w:r>
            <w:r>
              <w:rPr>
                <w:rFonts w:cs="Arial" w:ascii="Arial" w:hAnsi="Arial"/>
                <w:color w:val="000000"/>
                <w:vertAlign w:val="superscript"/>
                <w:lang w:eastAsia="en-US"/>
              </w:rPr>
              <w:t>7</w:t>
            </w:r>
          </w:p>
        </w:tc>
      </w:tr>
    </w:tbl>
    <w:p>
      <w:pPr>
        <w:pStyle w:val="Normal"/>
        <w:ind w:firstLine="720" w:end="0"/>
        <w:rPr>
          <w:sz w:val="22"/>
        </w:rPr>
      </w:pPr>
      <w:r>
        <w:rPr>
          <w:sz w:val="22"/>
        </w:rPr>
      </w:r>
    </w:p>
    <w:p>
      <w:pPr>
        <w:pStyle w:val="Normal"/>
        <w:jc w:val="center"/>
        <w:rPr>
          <w:b/>
          <w:sz w:val="24"/>
        </w:rPr>
      </w:pPr>
      <w:r>
        <w:rPr>
          <w:b/>
          <w:sz w:val="24"/>
        </w:rPr>
        <w:t>Note: First Period is Discounted!!!</w:t>
      </w:r>
    </w:p>
    <w:p>
      <w:pPr>
        <w:pStyle w:val="Normal"/>
        <w:ind w:firstLine="720" w:end="0"/>
        <w:rPr>
          <w:b/>
          <w:sz w:val="22"/>
        </w:rPr>
      </w:pPr>
      <w:r>
        <w:rPr>
          <w:b/>
          <w:sz w:val="22"/>
        </w:rPr>
      </w:r>
    </w:p>
    <w:p>
      <w:pPr>
        <w:pStyle w:val="Normal"/>
        <w:ind w:firstLine="720" w:end="0"/>
        <w:rPr>
          <w:sz w:val="22"/>
        </w:rPr>
      </w:pPr>
      <w:r>
        <w:rPr>
          <w:sz w:val="22"/>
        </w:rPr>
        <w:t xml:space="preserve">We can see from this table what our discounted present values will be for each period’s payoffs for both collusion and defection.  First let us consider collusion. Here we have the same payoff in each period, therefore it is an infinite series starting in the first discounted period.  From our finding above, we know that this equals $400/r.  Now let us consider the case of defection.  The payoffs in periods two on are all the same, therefore there is an infinite series starting in the second period.  The present value for this payoff stream is therefore the first period discounted value plus the present value of the infinite series starting in the second period.   Since the second period is doubly discounted, this equals $5000/(1+r) + $100/(r(r+1)).      </w:t>
      </w:r>
    </w:p>
    <w:p>
      <w:pPr>
        <w:pStyle w:val="Normal"/>
        <w:rPr>
          <w:sz w:val="22"/>
        </w:rPr>
      </w:pPr>
      <w:r>
        <w:rPr>
          <w:sz w:val="22"/>
        </w:rPr>
      </w:r>
    </w:p>
    <w:p>
      <w:pPr>
        <w:pStyle w:val="Normal"/>
        <w:rPr>
          <w:sz w:val="22"/>
        </w:rPr>
      </w:pPr>
      <w:r>
        <w:rPr>
          <w:sz w:val="22"/>
        </w:rPr>
        <w:tab/>
        <w:t>I hope this has been a useful set of notes for everyone.  If you still have questions feel free to seek help from me.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8"/>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end"/>
    </w:pPr>
    <w:rPr>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1999-09-27T14:34:00Z</dcterms:created>
  <dc:creator>pierce</dc:creator>
  <dc:description/>
  <dc:language>en-CA</dc:language>
  <cp:lastModifiedBy>pierce</cp:lastModifiedBy>
  <dcterms:modified xsi:type="dcterms:W3CDTF">1999-09-27T15:41:00Z</dcterms:modified>
  <cp:revision>2</cp:revision>
  <dc:subject/>
  <dc:title>Lamar’s Notes on Discounting in Perpetuity</dc:title>
</cp:coreProperties>
</file>