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Notes - - meeting 9-12-00</w:t>
      </w:r>
    </w:p>
    <w:p>
      <w:pPr>
        <w:pStyle w:val="Normal"/>
        <w:rPr/>
      </w:pPr>
      <w:r>
        <w:rPr/>
        <w:t>Attendees: three persons from AA (Heather Mueck, Roger Willard, John Searles), Bob Chandler, Dan Fancler, Lee Farrel, Tony Pryor</w:t>
      </w:r>
    </w:p>
    <w:p>
      <w:pPr>
        <w:pStyle w:val="Normal"/>
        <w:rPr/>
      </w:pPr>
      <w:r>
        <w:rPr/>
      </w:r>
    </w:p>
    <w:p>
      <w:pPr>
        <w:pStyle w:val="Normal"/>
        <w:rPr/>
      </w:pPr>
      <w:r>
        <w:rPr/>
        <w:t>Dan and Bob advised that the only hedging activity we have conducted to date is locking in price exposure related to overretention of fuel, which we have accomplished through swaps with ENA.</w:t>
      </w:r>
    </w:p>
    <w:p>
      <w:pPr>
        <w:pStyle w:val="Normal"/>
        <w:rPr/>
      </w:pPr>
      <w:r>
        <w:rPr/>
      </w:r>
    </w:p>
    <w:p>
      <w:pPr>
        <w:pStyle w:val="Normal"/>
        <w:rPr/>
      </w:pPr>
      <w:r>
        <w:rPr/>
        <w:t xml:space="preserve">With respect to the TW options, Dan noted that we will amend the GTAs to provide for the options.  Therefore we have taken the position that the options should be accounted for as an adjunct to transportation service; Roger had some reservations under SFAS 133 about that treatment.  There was discussion about the fact that since firm transport already has optionality built into it (reservation fee), it could be characterized as an option on an option.  </w:t>
      </w:r>
    </w:p>
    <w:p>
      <w:pPr>
        <w:pStyle w:val="Normal"/>
        <w:rPr/>
      </w:pPr>
      <w:r>
        <w:rPr/>
      </w:r>
    </w:p>
    <w:p>
      <w:pPr>
        <w:pStyle w:val="Normal"/>
        <w:rPr/>
      </w:pPr>
      <w:r>
        <w:rPr/>
        <w:t xml:space="preserve">Roger recommended that we broaden and generalize the policy to encompass any possible risk management issues or activities which might arise, which he said is the approach embodied in Enron Corp’s policy.  He appeared to feel that the draft policy is too specific and narrow.  Although he appeared to favor incorporating the portfolio approach to transportation capacity, ie., including the pipelines’ inherent long position on unsubscribed transport capacity into the risk management model, Dan and Lee appeared not to be in full agreement.  They mentioned that they didn’t want to include “normal” business risks.  </w:t>
      </w:r>
    </w:p>
    <w:p>
      <w:pPr>
        <w:pStyle w:val="Normal"/>
        <w:rPr/>
      </w:pPr>
      <w:r>
        <w:rPr/>
      </w:r>
    </w:p>
    <w:p>
      <w:pPr>
        <w:pStyle w:val="Normal"/>
        <w:rPr/>
      </w:pPr>
      <w:r>
        <w:rPr/>
        <w:t xml:space="preserve">Roger also said that while the policy should be broad and general, we need to add in an addendum the procedures, processes and authority limits appropriate for each risk management activity contemplated.  Even though we would probably not need the infrastructure that ENA has (with its high overhead), we need to achieve some definition of our trading controls, along the lines of the handouts AA provided, per Roger.  He emphasized the need for a segregation of functions and specification of duties for all involved.  </w:t>
      </w:r>
    </w:p>
    <w:p>
      <w:pPr>
        <w:pStyle w:val="Normal"/>
        <w:rPr/>
      </w:pPr>
      <w:r>
        <w:rPr/>
      </w:r>
    </w:p>
    <w:p>
      <w:pPr>
        <w:pStyle w:val="Normal"/>
        <w:rPr/>
      </w:pPr>
      <w:r>
        <w:rPr/>
        <w:t>We agreed to review AA’s questions and get back together in two weeks.</w:t>
      </w:r>
    </w:p>
    <w:p>
      <w:pPr>
        <w:pStyle w:val="Normal"/>
        <w:rPr/>
      </w:pPr>
      <w:r>
        <w:rPr/>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val="bestFit" w:percent="2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2000-09-12T18:20:00Z</dcterms:created>
  <dc:creator>tpryor</dc:creator>
  <dc:description/>
  <dc:language>en-CA</dc:language>
  <cp:lastModifiedBy>tpryor</cp:lastModifiedBy>
  <cp:lastPrinted>2000-09-12T16:42:00Z</cp:lastPrinted>
  <dcterms:modified xsi:type="dcterms:W3CDTF">2000-09-12T19:24:00Z</dcterms:modified>
  <cp:revision>7</cp:revision>
  <dc:subject/>
  <dc:title>Notes - - meeting 9-12-00</dc:title>
</cp:coreProperties>
</file>