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bCs/>
          <w:sz w:val="20"/>
        </w:rPr>
      </w:pPr>
      <w:r>
        <w:rPr>
          <w:rFonts w:cs="Arial" w:ascii="Arial" w:hAnsi="Arial"/>
          <w:b/>
          <w:bCs/>
          <w:sz w:val="20"/>
        </w:rPr>
        <w:t>ENW Assistant’s Meeting</w:t>
      </w:r>
    </w:p>
    <w:p>
      <w:pPr>
        <w:pStyle w:val="Normal"/>
        <w:jc w:val="center"/>
        <w:rPr>
          <w:rFonts w:ascii="Arial" w:hAnsi="Arial" w:cs="Arial"/>
          <w:b/>
          <w:bCs/>
          <w:sz w:val="20"/>
        </w:rPr>
      </w:pPr>
      <w:r>
        <w:rPr>
          <w:rFonts w:cs="Arial" w:ascii="Arial" w:hAnsi="Arial"/>
          <w:b/>
          <w:bCs/>
          <w:sz w:val="20"/>
        </w:rPr>
        <w:t>Monday, November 19, 2001</w:t>
      </w:r>
    </w:p>
    <w:p>
      <w:pPr>
        <w:pStyle w:val="Normal"/>
        <w:jc w:val="center"/>
        <w:rPr>
          <w:rFonts w:ascii="Arial" w:hAnsi="Arial" w:cs="Arial"/>
          <w:b/>
          <w:bCs/>
          <w:sz w:val="20"/>
        </w:rPr>
      </w:pPr>
      <w:r>
        <w:rPr>
          <w:rFonts w:cs="Arial" w:ascii="Arial" w:hAnsi="Arial"/>
          <w:b/>
          <w:bCs/>
          <w:sz w:val="20"/>
        </w:rPr>
      </w:r>
    </w:p>
    <w:p>
      <w:pPr>
        <w:pStyle w:val="Heading3"/>
        <w:ind w:hanging="0" w:start="0"/>
        <w:rPr/>
      </w:pPr>
      <w:r>
        <w:rPr/>
        <w:t>Notes</w:t>
      </w:r>
    </w:p>
    <w:p>
      <w:pPr>
        <w:pStyle w:val="Normal"/>
        <w:jc w:val="center"/>
        <w:rPr>
          <w:rFonts w:ascii="Arial" w:hAnsi="Arial" w:cs="Arial"/>
          <w:b/>
          <w:bCs/>
          <w:sz w:val="20"/>
        </w:rPr>
      </w:pPr>
      <w:r>
        <w:rPr>
          <w:rFonts w:cs="Arial" w:ascii="Arial" w:hAnsi="Arial"/>
          <w:b/>
          <w:bCs/>
          <w:sz w:val="20"/>
        </w:rPr>
      </w:r>
    </w:p>
    <w:p>
      <w:pPr>
        <w:pStyle w:val="Normal"/>
        <w:rPr>
          <w:rFonts w:ascii="Arial" w:hAnsi="Arial" w:cs="Arial"/>
          <w:b/>
          <w:bCs/>
          <w:sz w:val="20"/>
        </w:rPr>
      </w:pPr>
      <w:r>
        <w:rPr>
          <w:rFonts w:cs="Arial" w:ascii="Arial" w:hAnsi="Arial"/>
          <w:b/>
          <w:bCs/>
          <w:sz w:val="20"/>
        </w:rPr>
      </w:r>
    </w:p>
    <w:p>
      <w:pPr>
        <w:pStyle w:val="Heading1"/>
        <w:numPr>
          <w:ilvl w:val="0"/>
          <w:numId w:val="0"/>
        </w:numPr>
        <w:ind w:hanging="0" w:start="0"/>
        <w:rPr>
          <w:u w:val="single"/>
        </w:rPr>
      </w:pPr>
      <w:r>
        <w:rPr>
          <w:u w:val="single"/>
        </w:rPr>
        <w:t>Timesheets</w:t>
      </w:r>
    </w:p>
    <w:p>
      <w:pPr>
        <w:pStyle w:val="Heading2"/>
        <w:numPr>
          <w:ilvl w:val="0"/>
          <w:numId w:val="2"/>
        </w:numPr>
        <w:tabs>
          <w:tab w:val="clear" w:pos="720"/>
          <w:tab w:val="left" w:pos="840" w:leader="none"/>
        </w:tabs>
        <w:ind w:hanging="240" w:start="840" w:end="0"/>
        <w:rPr>
          <w:u w:val="none"/>
        </w:rPr>
      </w:pPr>
      <w:r>
        <w:rPr>
          <w:u w:val="none"/>
        </w:rPr>
        <w:t xml:space="preserve">What is the difference between Personal Leave with Pay (PER) and Family Leave with Pay (FWP)? </w:t>
      </w:r>
    </w:p>
    <w:p>
      <w:pPr>
        <w:pStyle w:val="Heading2"/>
        <w:numPr>
          <w:ilvl w:val="0"/>
          <w:numId w:val="4"/>
        </w:numPr>
        <w:rPr>
          <w:color w:val="FF0000"/>
          <w:u w:val="none"/>
        </w:rPr>
      </w:pPr>
      <w:r>
        <w:rPr>
          <w:color w:val="FF0000"/>
          <w:u w:val="none"/>
        </w:rPr>
        <w:t>Personal Leave with Pay is to be used to take care of personal appointments, i.e. getting your car repaired, meeting with a lawyer, driver’s license renewal, etc.  This leave is not a benefit and is awarded at manager’s approval.  A general guideline for employees is 2 days, or 16 hours, Personal Leave with Pay per year.  Any additional time off above this guideline recommendation should be recorded as Vacation.  Please note that making up Personal Time is encouraged.  If you take hours off, you can make them up during the same week as long as it is reflected properly on your timesheet.</w:t>
      </w:r>
    </w:p>
    <w:p>
      <w:pPr>
        <w:pStyle w:val="Heading2"/>
        <w:numPr>
          <w:ilvl w:val="0"/>
          <w:numId w:val="4"/>
        </w:numPr>
        <w:rPr>
          <w:color w:val="FF0000"/>
          <w:u w:val="none"/>
        </w:rPr>
      </w:pPr>
      <w:r>
        <w:rPr>
          <w:color w:val="FF0000"/>
          <w:u w:val="none"/>
        </w:rPr>
        <w:t xml:space="preserve">Family Leave with Pay (FWP) is to be used take care of your sick child, to stay with a family member in the hospital, etc.  </w:t>
      </w:r>
    </w:p>
    <w:p>
      <w:pPr>
        <w:pStyle w:val="Heading2"/>
        <w:numPr>
          <w:ilvl w:val="0"/>
          <w:numId w:val="2"/>
        </w:numPr>
        <w:tabs>
          <w:tab w:val="clear" w:pos="720"/>
          <w:tab w:val="left" w:pos="840" w:leader="none"/>
        </w:tabs>
        <w:ind w:hanging="240" w:start="840" w:end="0"/>
        <w:rPr>
          <w:u w:val="none"/>
        </w:rPr>
      </w:pPr>
      <w:r>
        <w:rPr>
          <w:u w:val="none"/>
        </w:rPr>
        <w:t xml:space="preserve">Are Assistants responsible for making sure that employees in their departments complete a timesheet every pay period?  </w:t>
      </w:r>
    </w:p>
    <w:p>
      <w:pPr>
        <w:pStyle w:val="Heading2"/>
        <w:numPr>
          <w:ilvl w:val="0"/>
          <w:numId w:val="4"/>
        </w:numPr>
        <w:rPr>
          <w:color w:val="FF0000"/>
          <w:u w:val="none"/>
        </w:rPr>
      </w:pPr>
      <w:r>
        <w:rPr>
          <w:color w:val="FF0000"/>
          <w:u w:val="none"/>
        </w:rPr>
        <w:t xml:space="preserve">Yes.  If you don’t record timesheets for your department, you should make sure that everyone in your department completes a timesheet every pay period.  You can achieve this by either having the employees print a copy of the timesheet for you, or accessing the reports for your cost centers in SAP.  Work with your supervisor to determine their level of involvement in the process.  </w:t>
      </w:r>
    </w:p>
    <w:p>
      <w:pPr>
        <w:pStyle w:val="Heading2"/>
        <w:numPr>
          <w:ilvl w:val="0"/>
          <w:numId w:val="2"/>
        </w:numPr>
        <w:tabs>
          <w:tab w:val="clear" w:pos="720"/>
          <w:tab w:val="left" w:pos="840" w:leader="none"/>
        </w:tabs>
        <w:ind w:hanging="240" w:start="840" w:end="0"/>
        <w:rPr>
          <w:u w:val="none"/>
        </w:rPr>
      </w:pPr>
      <w:r>
        <w:rPr>
          <w:u w:val="none"/>
        </w:rPr>
        <w:t xml:space="preserve">Do I need my supervisor’s approval to work overtime?  </w:t>
      </w:r>
    </w:p>
    <w:p>
      <w:pPr>
        <w:pStyle w:val="Heading2"/>
        <w:numPr>
          <w:ilvl w:val="0"/>
          <w:numId w:val="6"/>
        </w:numPr>
        <w:rPr>
          <w:color w:val="FF0000"/>
          <w:u w:val="none"/>
        </w:rPr>
      </w:pPr>
      <w:r>
        <w:rPr>
          <w:color w:val="FF0000"/>
          <w:u w:val="none"/>
        </w:rPr>
        <w:t>Yes.  You need to make sure that your supervisor knows before you work the overtime.  Coming in an hour early every day, or working through lunch, is not acceptable, unless you have prior approval in writing from your supervisor.  You need to be working on a specific project, or explaining to your supervisor daily why you need the extra time to get your work done.  Overtime needs to be justified…especially now.</w:t>
      </w:r>
    </w:p>
    <w:p>
      <w:pPr>
        <w:pStyle w:val="Heading2"/>
        <w:numPr>
          <w:ilvl w:val="0"/>
          <w:numId w:val="2"/>
        </w:numPr>
        <w:tabs>
          <w:tab w:val="clear" w:pos="720"/>
          <w:tab w:val="left" w:pos="840" w:leader="none"/>
        </w:tabs>
        <w:ind w:hanging="240" w:start="840" w:end="0"/>
        <w:rPr>
          <w:u w:val="none"/>
        </w:rPr>
      </w:pPr>
      <w:r>
        <w:rPr>
          <w:u w:val="none"/>
        </w:rPr>
        <w:t xml:space="preserve">Are long lunches ever appropriate?  </w:t>
      </w:r>
    </w:p>
    <w:p>
      <w:pPr>
        <w:pStyle w:val="Heading2"/>
        <w:numPr>
          <w:ilvl w:val="0"/>
          <w:numId w:val="6"/>
        </w:numPr>
        <w:rPr>
          <w:color w:val="FF0000"/>
          <w:u w:val="none"/>
        </w:rPr>
      </w:pPr>
      <w:r>
        <w:rPr>
          <w:color w:val="FF0000"/>
          <w:u w:val="none"/>
        </w:rPr>
        <w:t>Sometimes they are unavoidable.  If you take a long lunch, just make sure you make up the time during the same week and note it properly on your timesheet.</w:t>
      </w:r>
    </w:p>
    <w:p>
      <w:pPr>
        <w:pStyle w:val="Normal"/>
        <w:rPr>
          <w:color w:val="FF0000"/>
          <w:u w:val="none"/>
        </w:rPr>
      </w:pPr>
      <w:r>
        <w:rPr>
          <w:color w:val="FF0000"/>
          <w:u w:val="none"/>
        </w:rPr>
      </w:r>
    </w:p>
    <w:p>
      <w:pPr>
        <w:pStyle w:val="Heading1"/>
        <w:numPr>
          <w:ilvl w:val="0"/>
          <w:numId w:val="0"/>
        </w:numPr>
        <w:ind w:hanging="0" w:start="0"/>
        <w:rPr>
          <w:u w:val="single"/>
        </w:rPr>
      </w:pPr>
      <w:r>
        <w:rPr>
          <w:u w:val="single"/>
        </w:rPr>
        <w:t>Back-up Procedures During Absences</w:t>
      </w:r>
    </w:p>
    <w:p>
      <w:pPr>
        <w:pStyle w:val="Normal"/>
        <w:numPr>
          <w:ilvl w:val="1"/>
          <w:numId w:val="3"/>
        </w:numPr>
        <w:tabs>
          <w:tab w:val="clear" w:pos="720"/>
          <w:tab w:val="left" w:pos="840" w:leader="none"/>
        </w:tabs>
        <w:spacing w:before="0" w:after="240"/>
        <w:ind w:hanging="1560" w:start="2160" w:end="0"/>
        <w:rPr>
          <w:rFonts w:ascii="Arial" w:hAnsi="Arial" w:cs="Arial"/>
          <w:sz w:val="20"/>
        </w:rPr>
      </w:pPr>
      <w:r>
        <w:rPr>
          <w:rFonts w:cs="Arial" w:ascii="Arial" w:hAnsi="Arial"/>
          <w:sz w:val="20"/>
        </w:rPr>
        <w:t>Make sure that your Outlook “Out of Office Assistant” is activated.</w:t>
      </w:r>
    </w:p>
    <w:p>
      <w:pPr>
        <w:pStyle w:val="Normal"/>
        <w:numPr>
          <w:ilvl w:val="1"/>
          <w:numId w:val="3"/>
        </w:numPr>
        <w:tabs>
          <w:tab w:val="clear" w:pos="720"/>
          <w:tab w:val="left" w:pos="840" w:leader="none"/>
        </w:tabs>
        <w:spacing w:before="0" w:after="240"/>
        <w:ind w:hanging="1560" w:start="2160" w:end="0"/>
        <w:rPr>
          <w:rFonts w:ascii="Arial" w:hAnsi="Arial" w:cs="Arial"/>
          <w:sz w:val="20"/>
        </w:rPr>
      </w:pPr>
      <w:r>
        <w:rPr>
          <w:rFonts w:cs="Arial" w:ascii="Arial" w:hAnsi="Arial"/>
          <w:sz w:val="20"/>
        </w:rPr>
        <w:t>Make sure that your voicemail greeting reflects your absence, return date, and back-up information.</w:t>
      </w:r>
    </w:p>
    <w:p>
      <w:pPr>
        <w:pStyle w:val="Normal"/>
        <w:numPr>
          <w:ilvl w:val="1"/>
          <w:numId w:val="3"/>
        </w:numPr>
        <w:tabs>
          <w:tab w:val="clear" w:pos="720"/>
          <w:tab w:val="left" w:pos="840" w:leader="none"/>
        </w:tabs>
        <w:spacing w:before="0" w:after="240"/>
        <w:ind w:hanging="240" w:start="840" w:end="0"/>
        <w:rPr>
          <w:rFonts w:ascii="Arial" w:hAnsi="Arial" w:cs="Arial"/>
          <w:sz w:val="20"/>
        </w:rPr>
      </w:pPr>
      <w:r>
        <w:rPr>
          <w:rFonts w:cs="Arial" w:ascii="Arial" w:hAnsi="Arial"/>
          <w:sz w:val="20"/>
        </w:rPr>
        <w:t>It is very important that contact information for you and your supervisors stay current.  Please make sure that information is kept up-to-date in Peoplefinder.  If your supervisor is a direct report to the Office of the Chair, please advise us if contact information changes.</w:t>
      </w:r>
    </w:p>
    <w:p>
      <w:pPr>
        <w:pStyle w:val="Heading2"/>
        <w:numPr>
          <w:ilvl w:val="0"/>
          <w:numId w:val="0"/>
        </w:numPr>
        <w:ind w:hanging="0" w:start="0"/>
        <w:rPr>
          <w:b/>
          <w:bCs/>
        </w:rPr>
      </w:pPr>
      <w:r>
        <w:rPr>
          <w:b/>
          <w:bCs/>
        </w:rPr>
        <w:t>Spending</w:t>
      </w:r>
    </w:p>
    <w:p>
      <w:pPr>
        <w:pStyle w:val="Normal"/>
        <w:numPr>
          <w:ilvl w:val="1"/>
          <w:numId w:val="3"/>
        </w:numPr>
        <w:tabs>
          <w:tab w:val="clear" w:pos="720"/>
          <w:tab w:val="left" w:pos="840" w:leader="none"/>
        </w:tabs>
        <w:spacing w:before="0" w:after="240"/>
        <w:ind w:hanging="240" w:start="840" w:end="0"/>
        <w:rPr>
          <w:rFonts w:ascii="Arial" w:hAnsi="Arial" w:cs="Arial"/>
          <w:sz w:val="20"/>
        </w:rPr>
      </w:pPr>
      <w:r>
        <w:rPr>
          <w:rFonts w:cs="Arial" w:ascii="Arial" w:hAnsi="Arial"/>
          <w:sz w:val="20"/>
        </w:rPr>
        <w:t>Handout – ENW T&amp;E Policy dated August 24, 2001.</w:t>
      </w:r>
    </w:p>
    <w:p>
      <w:pPr>
        <w:pStyle w:val="Normal"/>
        <w:numPr>
          <w:ilvl w:val="1"/>
          <w:numId w:val="3"/>
        </w:numPr>
        <w:tabs>
          <w:tab w:val="clear" w:pos="720"/>
          <w:tab w:val="left" w:pos="840" w:leader="none"/>
        </w:tabs>
        <w:spacing w:before="0" w:after="240"/>
        <w:ind w:hanging="240" w:start="840" w:end="0"/>
        <w:rPr>
          <w:rFonts w:ascii="Arial" w:hAnsi="Arial" w:cs="Arial"/>
          <w:sz w:val="20"/>
        </w:rPr>
      </w:pPr>
      <w:r>
        <w:rPr>
          <w:rFonts w:cs="Arial" w:ascii="Arial" w:hAnsi="Arial"/>
          <w:sz w:val="20"/>
        </w:rPr>
        <w:t>Department heads have been asked to carefully consider travel – whether it is necessary at all, or if sending one person is sufficient, instead of two or more.</w:t>
      </w:r>
    </w:p>
    <w:p>
      <w:pPr>
        <w:pStyle w:val="Normal"/>
        <w:numPr>
          <w:ilvl w:val="1"/>
          <w:numId w:val="3"/>
        </w:numPr>
        <w:tabs>
          <w:tab w:val="clear" w:pos="720"/>
          <w:tab w:val="left" w:pos="840" w:leader="none"/>
        </w:tabs>
        <w:spacing w:before="0" w:after="240"/>
        <w:ind w:hanging="240" w:start="840" w:end="0"/>
        <w:rPr>
          <w:rFonts w:ascii="Arial" w:hAnsi="Arial" w:cs="Arial"/>
          <w:sz w:val="20"/>
        </w:rPr>
      </w:pPr>
      <w:r>
        <w:rPr>
          <w:rFonts w:cs="Arial" w:ascii="Arial" w:hAnsi="Arial"/>
          <w:sz w:val="20"/>
        </w:rPr>
        <w:t>Offsite meetings need to be carefully considered.</w:t>
      </w:r>
    </w:p>
    <w:p>
      <w:pPr>
        <w:pStyle w:val="Normal"/>
        <w:numPr>
          <w:ilvl w:val="1"/>
          <w:numId w:val="3"/>
        </w:numPr>
        <w:tabs>
          <w:tab w:val="clear" w:pos="720"/>
          <w:tab w:val="left" w:pos="840" w:leader="none"/>
        </w:tabs>
        <w:spacing w:before="0" w:after="240"/>
        <w:ind w:hanging="240" w:start="840" w:end="0"/>
        <w:rPr>
          <w:rFonts w:ascii="Arial" w:hAnsi="Arial" w:cs="Arial"/>
          <w:sz w:val="20"/>
        </w:rPr>
      </w:pPr>
      <w:r>
        <w:rPr>
          <w:rFonts w:cs="Arial" w:ascii="Arial" w:hAnsi="Arial"/>
          <w:sz w:val="20"/>
        </w:rPr>
        <w:t>After-work functions need Office of the Chair approval.</w:t>
      </w:r>
    </w:p>
    <w:p>
      <w:pPr>
        <w:pStyle w:val="Normal"/>
        <w:numPr>
          <w:ilvl w:val="1"/>
          <w:numId w:val="3"/>
        </w:numPr>
        <w:tabs>
          <w:tab w:val="clear" w:pos="720"/>
          <w:tab w:val="left" w:pos="840" w:leader="none"/>
        </w:tabs>
        <w:spacing w:before="0" w:after="240"/>
        <w:ind w:hanging="240" w:start="840" w:end="0"/>
        <w:rPr>
          <w:rFonts w:ascii="Arial" w:hAnsi="Arial" w:cs="Arial"/>
          <w:sz w:val="20"/>
        </w:rPr>
      </w:pPr>
      <w:r>
        <w:rPr>
          <w:rFonts w:cs="Arial" w:ascii="Arial" w:hAnsi="Arial"/>
          <w:sz w:val="20"/>
        </w:rPr>
        <w:t>Outside services will be carefully considered.</w:t>
      </w:r>
    </w:p>
    <w:p>
      <w:pPr>
        <w:pStyle w:val="Normal"/>
        <w:numPr>
          <w:ilvl w:val="1"/>
          <w:numId w:val="3"/>
        </w:numPr>
        <w:tabs>
          <w:tab w:val="clear" w:pos="720"/>
          <w:tab w:val="left" w:pos="840" w:leader="none"/>
        </w:tabs>
        <w:spacing w:before="0" w:after="240"/>
        <w:ind w:hanging="240" w:start="840" w:end="0"/>
        <w:rPr>
          <w:rFonts w:ascii="Arial" w:hAnsi="Arial" w:cs="Arial"/>
          <w:sz w:val="20"/>
        </w:rPr>
      </w:pPr>
      <w:r>
        <w:rPr>
          <w:rFonts w:cs="Arial" w:ascii="Arial" w:hAnsi="Arial"/>
          <w:sz w:val="20"/>
        </w:rPr>
        <w:t>Assistants need to use good judgment when purchasing supplies, cell phone equipment, etc.</w:t>
      </w:r>
    </w:p>
    <w:p>
      <w:pPr>
        <w:pStyle w:val="Normal"/>
        <w:numPr>
          <w:ilvl w:val="1"/>
          <w:numId w:val="3"/>
        </w:numPr>
        <w:tabs>
          <w:tab w:val="clear" w:pos="720"/>
          <w:tab w:val="left" w:pos="840" w:leader="none"/>
        </w:tabs>
        <w:spacing w:before="0" w:after="240"/>
        <w:ind w:hanging="240" w:start="840" w:end="0"/>
        <w:rPr>
          <w:rFonts w:ascii="Arial" w:hAnsi="Arial" w:cs="Arial"/>
          <w:sz w:val="20"/>
        </w:rPr>
      </w:pPr>
      <w:r>
        <w:rPr>
          <w:rFonts w:cs="Arial" w:ascii="Arial" w:hAnsi="Arial"/>
          <w:sz w:val="20"/>
        </w:rPr>
        <w:t>All employees who approve invoices through iPayit (either for their supervisor or for themselves) should pay careful attention to the invoices.</w:t>
      </w:r>
    </w:p>
    <w:p>
      <w:pPr>
        <w:pStyle w:val="Normal"/>
        <w:numPr>
          <w:ilvl w:val="1"/>
          <w:numId w:val="3"/>
        </w:numPr>
        <w:tabs>
          <w:tab w:val="clear" w:pos="720"/>
          <w:tab w:val="left" w:pos="840" w:leader="none"/>
        </w:tabs>
        <w:spacing w:before="0" w:after="240"/>
        <w:ind w:hanging="240" w:start="840" w:end="0"/>
        <w:rPr>
          <w:rFonts w:ascii="Arial" w:hAnsi="Arial" w:cs="Arial"/>
          <w:sz w:val="20"/>
        </w:rPr>
      </w:pPr>
      <w:r>
        <w:rPr>
          <w:rFonts w:cs="Arial" w:ascii="Arial" w:hAnsi="Arial"/>
          <w:sz w:val="20"/>
        </w:rPr>
        <w:t>Specific company-wide guidelines on spending may be forthcoming.</w:t>
      </w:r>
    </w:p>
    <w:sectPr>
      <w:type w:val="nextPage"/>
      <w:pgSz w:w="12240" w:h="15840"/>
      <w:pgMar w:left="1152" w:right="1152" w:gutter="0" w:header="0" w:top="126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lvl w:ilvl="1">
      <w:start w:val="1"/>
      <w:numFmt w:val="bullet"/>
      <w:lvlText w:val=""/>
      <w:lvlJc w:val="start"/>
      <w:pPr>
        <w:tabs>
          <w:tab w:val="num" w:pos="1800"/>
        </w:tabs>
        <w:ind w:start="1800" w:hanging="360"/>
      </w:pPr>
      <w:rPr>
        <w:rFonts w:ascii="Symbol" w:hAnsi="Symbol" w:cs="Symbol" w:hint="default"/>
      </w:rPr>
    </w:lvl>
    <w:lvl w:ilvl="2">
      <w:start w:val="1"/>
      <w:numFmt w:val="bullet"/>
      <w:lvlText w:val=""/>
      <w:lvlJc w:val="start"/>
      <w:pPr>
        <w:tabs>
          <w:tab w:val="num" w:pos="2520"/>
        </w:tabs>
        <w:ind w:start="2520" w:hanging="360"/>
      </w:pPr>
      <w:rPr>
        <w:rFonts w:ascii="Symbol" w:hAnsi="Symbol" w:cs="Symbol" w:hint="default"/>
      </w:r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abstractNum w:abstractNumId="3">
    <w:lvl w:ilvl="0">
      <w:start w:val="1"/>
      <w:numFmt w:val="none"/>
      <w:suff w:val="nothing"/>
      <w:lvlText w:val=""/>
      <w:lvlJc w:val="start"/>
      <w:pPr>
        <w:tabs>
          <w:tab w:val="num" w:pos="1440"/>
        </w:tabs>
        <w:ind w:start="0" w:firstLine="1080"/>
      </w:pPr>
      <w:rPr/>
    </w:lvl>
    <w:lvl w:ilvl="1">
      <w:start w:val="1"/>
      <w:numFmt w:val="bullet"/>
      <w:lvlText w:val=""/>
      <w:lvlJc w:val="start"/>
      <w:pPr>
        <w:tabs>
          <w:tab w:val="num" w:pos="720"/>
        </w:tabs>
        <w:ind w:start="2160" w:hanging="360"/>
      </w:pPr>
      <w:rPr>
        <w:rFonts w:ascii="Symbol" w:hAnsi="Symbol" w:cs="Symbol" w:hint="default"/>
      </w:rPr>
    </w:lvl>
    <w:lvl w:ilvl="2">
      <w:start w:val="1"/>
      <w:numFmt w:val="bullet"/>
      <w:lvlText w:val=""/>
      <w:lvlJc w:val="start"/>
      <w:pPr>
        <w:tabs>
          <w:tab w:val="num" w:pos="2880"/>
        </w:tabs>
        <w:ind w:start="2880" w:hanging="360"/>
      </w:pPr>
      <w:rPr>
        <w:rFonts w:ascii="Symbol" w:hAnsi="Symbol" w:cs="Symbol"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abstractNum w:abstractNumId="4">
    <w:lvl w:ilvl="0">
      <w:start w:val="1"/>
      <w:numFmt w:val="bullet"/>
      <w:lvlText w:val=""/>
      <w:lvlJc w:val="start"/>
      <w:pPr>
        <w:tabs>
          <w:tab w:val="num" w:pos="1200"/>
        </w:tabs>
        <w:ind w:start="1200" w:hanging="360"/>
      </w:pPr>
      <w:rPr>
        <w:rFonts w:ascii="Symbol" w:hAnsi="Symbol" w:cs="Symbol" w:hint="default"/>
      </w:rPr>
    </w:lvl>
  </w:abstractNum>
  <w:abstractNum w:abstractNumId="5">
    <w:lvl w:ilvl="0">
      <w:start w:val="1"/>
      <w:numFmt w:val="upperRoman"/>
      <w:lvlText w:val="%1."/>
      <w:lvlJc w:val="start"/>
      <w:pPr>
        <w:tabs>
          <w:tab w:val="num" w:pos="1560"/>
        </w:tabs>
        <w:ind w:start="1560" w:hanging="720"/>
      </w:pPr>
      <w:rPr/>
    </w:lvl>
  </w:abstractNum>
  <w:abstractNum w:abstractNumId="6">
    <w:lvl w:ilvl="0">
      <w:start w:val="1"/>
      <w:numFmt w:val="bullet"/>
      <w:lvlText w:val=""/>
      <w:lvlJc w:val="start"/>
      <w:pPr>
        <w:tabs>
          <w:tab w:val="num" w:pos="1200"/>
        </w:tabs>
        <w:ind w:start="120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5"/>
      </w:numPr>
      <w:spacing w:before="0" w:after="240"/>
      <w:outlineLvl w:val="0"/>
    </w:pPr>
    <w:rPr>
      <w:rFonts w:ascii="Arial" w:hAnsi="Arial" w:cs="Arial"/>
      <w:b/>
      <w:bCs/>
      <w:sz w:val="20"/>
    </w:rPr>
  </w:style>
  <w:style w:type="paragraph" w:styleId="Heading2">
    <w:name w:val="heading 2"/>
    <w:basedOn w:val="Normal"/>
    <w:next w:val="Normal"/>
    <w:qFormat/>
    <w:pPr>
      <w:keepNext w:val="true"/>
      <w:numPr>
        <w:ilvl w:val="0"/>
        <w:numId w:val="5"/>
      </w:numPr>
      <w:spacing w:before="0" w:after="240"/>
      <w:outlineLvl w:val="1"/>
    </w:pPr>
    <w:rPr>
      <w:rFonts w:ascii="Arial" w:hAnsi="Arial" w:cs="Arial"/>
      <w:sz w:val="20"/>
      <w:u w:val="single"/>
    </w:rPr>
  </w:style>
  <w:style w:type="paragraph" w:styleId="Heading3">
    <w:name w:val="heading 3"/>
    <w:basedOn w:val="Normal"/>
    <w:next w:val="Normal"/>
    <w:qFormat/>
    <w:pPr>
      <w:keepNext w:val="true"/>
      <w:numPr>
        <w:ilvl w:val="2"/>
        <w:numId w:val="1"/>
      </w:numPr>
      <w:pBdr>
        <w:bottom w:val="single" w:sz="4" w:space="1" w:color="000000"/>
      </w:pBdr>
      <w:jc w:val="center"/>
      <w:outlineLvl w:val="2"/>
    </w:pPr>
    <w:rPr>
      <w:rFonts w:ascii="Arial" w:hAnsi="Arial" w:cs="Arial"/>
      <w:b/>
      <w:bCs/>
      <w:smallCap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4">
    <w:name w:val="WW8Num2z4"/>
    <w:qFormat/>
    <w:rPr>
      <w:rFonts w:ascii="Courier New" w:hAnsi="Courier New" w:cs="Courier New"/>
    </w:rPr>
  </w:style>
  <w:style w:type="character" w:styleId="WW8Num2z5">
    <w:name w:val="WW8Num2z5"/>
    <w:qFormat/>
    <w:rPr>
      <w:rFonts w:ascii="Wingdings" w:hAnsi="Wingdings" w:cs="Wingdings"/>
    </w:rPr>
  </w:style>
  <w:style w:type="character" w:styleId="WW8Num3z0">
    <w:name w:val="WW8Num3z0"/>
    <w:qFormat/>
    <w:rPr>
      <w:rFonts w:ascii="Symbol" w:hAnsi="Symbol" w:cs="Symbol"/>
    </w:rPr>
  </w:style>
  <w:style w:type="character" w:styleId="WW8Num3z4">
    <w:name w:val="WW8Num3z4"/>
    <w:qFormat/>
    <w:rPr>
      <w:rFonts w:ascii="Courier New" w:hAnsi="Courier New" w:cs="Courier New"/>
    </w:rPr>
  </w:style>
  <w:style w:type="character" w:styleId="WW8Num3z5">
    <w:name w:val="WW8Num3z5"/>
    <w:qFormat/>
    <w:rPr>
      <w:rFonts w:ascii="Wingdings" w:hAnsi="Wingdings" w:cs="Wingdings"/>
    </w:rPr>
  </w:style>
  <w:style w:type="character" w:styleId="WW8Num4z0">
    <w:name w:val="WW8Num4z0"/>
    <w:qFormat/>
    <w:rPr/>
  </w:style>
  <w:style w:type="character" w:styleId="WW8Num4z1">
    <w:name w:val="WW8Num4z1"/>
    <w:qFormat/>
    <w:rPr>
      <w:rFonts w:ascii="Symbol" w:hAnsi="Symbol" w:cs="Symbol"/>
    </w:rPr>
  </w:style>
  <w:style w:type="character" w:styleId="WW8Num4z4">
    <w:name w:val="WW8Num4z4"/>
    <w:qFormat/>
    <w:rPr>
      <w:rFonts w:ascii="Courier New" w:hAnsi="Courier New" w:cs="Courier New"/>
    </w:rPr>
  </w:style>
  <w:style w:type="character" w:styleId="WW8Num4z5">
    <w:name w:val="WW8Num4z5"/>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4">
    <w:name w:val="WW8Num6z4"/>
    <w:qFormat/>
    <w:rPr>
      <w:rFonts w:ascii="Courier New" w:hAnsi="Courier New" w:cs="Courier New"/>
    </w:rPr>
  </w:style>
  <w:style w:type="character" w:styleId="WW8Num6z5">
    <w:name w:val="WW8Num6z5"/>
    <w:qFormat/>
    <w:rPr>
      <w:rFonts w:ascii="Wingdings" w:hAnsi="Wingdings" w:cs="Wingdings"/>
    </w:rPr>
  </w:style>
  <w:style w:type="character" w:styleId="WW8Num7z0">
    <w:name w:val="WW8Num7z0"/>
    <w:qFormat/>
    <w:rPr>
      <w:rFonts w:ascii="Symbol" w:hAnsi="Symbol" w:cs="Symbol"/>
    </w:rPr>
  </w:style>
  <w:style w:type="character" w:styleId="WW8Num7z4">
    <w:name w:val="WW8Num7z4"/>
    <w:qFormat/>
    <w:rPr>
      <w:rFonts w:ascii="Courier New" w:hAnsi="Courier New" w:cs="Courier New"/>
    </w:rPr>
  </w:style>
  <w:style w:type="character" w:styleId="WW8Num7z5">
    <w:name w:val="WW8Num7z5"/>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4">
    <w:name w:val="WW8Num9z4"/>
    <w:qFormat/>
    <w:rPr>
      <w:rFonts w:ascii="Courier New" w:hAnsi="Courier New" w:cs="Courier New"/>
    </w:rPr>
  </w:style>
  <w:style w:type="character" w:styleId="WW8Num9z5">
    <w:name w:val="WW8Num9z5"/>
    <w:qFormat/>
    <w:rPr>
      <w:rFonts w:ascii="Wingdings" w:hAnsi="Wingdings" w:cs="Wingdings"/>
    </w:rPr>
  </w:style>
  <w:style w:type="character" w:styleId="WW8Num10z0">
    <w:name w:val="WW8Num10z0"/>
    <w:qFormat/>
    <w:rPr/>
  </w:style>
  <w:style w:type="character" w:styleId="WW8Num11z0">
    <w:name w:val="WW8Num11z0"/>
    <w:qFormat/>
    <w:rPr/>
  </w:style>
  <w:style w:type="character" w:styleId="WW8Num11z1">
    <w:name w:val="WW8Num11z1"/>
    <w:qFormat/>
    <w:rPr>
      <w:rFonts w:ascii="Symbol" w:hAnsi="Symbol" w:cs="Symbol"/>
    </w:rPr>
  </w:style>
  <w:style w:type="character" w:styleId="WW8Num11z4">
    <w:name w:val="WW8Num11z4"/>
    <w:qFormat/>
    <w:rPr>
      <w:rFonts w:ascii="Courier New" w:hAnsi="Courier New" w:cs="Courier New"/>
    </w:rPr>
  </w:style>
  <w:style w:type="character" w:styleId="WW8Num11z5">
    <w:name w:val="WW8Num11z5"/>
    <w:qFormat/>
    <w:rPr>
      <w:rFonts w:ascii="Wingdings" w:hAnsi="Wingdings" w:cs="Wingdings"/>
    </w:rPr>
  </w:style>
  <w:style w:type="character" w:styleId="WW8Num12z0">
    <w:name w:val="WW8Num12z0"/>
    <w:qFormat/>
    <w:rPr>
      <w:rFonts w:ascii="Symbol" w:hAnsi="Symbol" w:cs="Symbol"/>
    </w:rPr>
  </w:style>
  <w:style w:type="character" w:styleId="WW8Num12z4">
    <w:name w:val="WW8Num12z4"/>
    <w:qFormat/>
    <w:rPr>
      <w:rFonts w:ascii="Courier New" w:hAnsi="Courier New" w:cs="Courier New"/>
    </w:rPr>
  </w:style>
  <w:style w:type="character" w:styleId="WW8Num12z5">
    <w:name w:val="WW8Num12z5"/>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4z4">
    <w:name w:val="WW8Num14z4"/>
    <w:qFormat/>
    <w:rPr>
      <w:rFonts w:ascii="Courier New" w:hAnsi="Courier New" w:cs="Courier New"/>
    </w:rPr>
  </w:style>
  <w:style w:type="character" w:styleId="WW8Num14z5">
    <w:name w:val="WW8Num14z5"/>
    <w:qFormat/>
    <w:rPr>
      <w:rFonts w:ascii="Wingdings" w:hAnsi="Wingdings" w:cs="Wingdings"/>
    </w:rPr>
  </w:style>
  <w:style w:type="character" w:styleId="WW8Num15z0">
    <w:name w:val="WW8Num15z0"/>
    <w:qFormat/>
    <w:rPr>
      <w:rFonts w:ascii="Symbol" w:hAnsi="Symbol" w:cs="Symbol"/>
    </w:rPr>
  </w:style>
  <w:style w:type="character" w:styleId="WW8Num15z4">
    <w:name w:val="WW8Num15z4"/>
    <w:qFormat/>
    <w:rPr>
      <w:rFonts w:ascii="Courier New" w:hAnsi="Courier New" w:cs="Courier New"/>
    </w:rPr>
  </w:style>
  <w:style w:type="character" w:styleId="WW8Num15z5">
    <w:name w:val="WW8Num15z5"/>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8z4">
    <w:name w:val="WW8Num18z4"/>
    <w:qFormat/>
    <w:rPr>
      <w:rFonts w:ascii="Courier New" w:hAnsi="Courier New" w:cs="Courier New"/>
    </w:rPr>
  </w:style>
  <w:style w:type="character" w:styleId="WW8Num18z5">
    <w:name w:val="WW8Num18z5"/>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2001-11-19T19:59:00Z</dcterms:created>
  <dc:creator>Tina Spiller</dc:creator>
  <dc:description/>
  <dc:language>en-CA</dc:language>
  <cp:lastModifiedBy>Tina Spiller</cp:lastModifiedBy>
  <cp:lastPrinted>2001-11-20T09:01:00Z</cp:lastPrinted>
  <dcterms:modified xsi:type="dcterms:W3CDTF">2001-11-20T12:33:00Z</dcterms:modified>
  <cp:revision>4</cp:revision>
  <dc:subject/>
  <dc:title>ENW Assistant’s Meeting</dc:title>
</cp:coreProperties>
</file>