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/>
          <w:u w:val="none"/>
        </w:rPr>
      </w:pPr>
      <w:r>
        <w:rPr>
          <w:b/>
          <w:u w:val="none"/>
        </w:rPr>
        <w:t>Governance</w:t>
      </w:r>
    </w:p>
    <w:p>
      <w:pPr>
        <w:pStyle w:val="Normal"/>
        <w:ind w:firstLine="720" w:start="720" w:end="0"/>
        <w:rPr/>
      </w:pPr>
      <w:r>
        <w:rPr/>
        <w:t>Ron - Claim that to change board structure Board must vote to change bylaws and must be approved by EOB.</w:t>
      </w:r>
    </w:p>
    <w:p>
      <w:pPr>
        <w:pStyle w:val="Heading1"/>
        <w:ind w:hanging="0" w:start="0"/>
        <w:rPr>
          <w:b/>
          <w:u w:val="none"/>
        </w:rPr>
      </w:pPr>
      <w:r>
        <w:rPr>
          <w:b/>
          <w:u w:val="none"/>
        </w:rPr>
        <w:t>Market Power</w:t>
      </w:r>
    </w:p>
    <w:p>
      <w:pPr>
        <w:pStyle w:val="Normal"/>
        <w:ind w:firstLine="720" w:start="720" w:end="0"/>
        <w:rPr/>
      </w:pPr>
      <w:r>
        <w:rPr/>
        <w:t>Ron - Existing FERC standard</w:t>
      </w:r>
    </w:p>
    <w:p>
      <w:pPr>
        <w:pStyle w:val="Normal"/>
        <w:ind w:firstLine="720" w:start="720" w:end="0"/>
        <w:rPr/>
      </w:pPr>
      <w:r>
        <w:rPr/>
        <w:t xml:space="preserve">Alan - </w:t>
        <w:tab/>
        <w:t xml:space="preserve">Definition </w:t>
      </w:r>
    </w:p>
    <w:p>
      <w:pPr>
        <w:pStyle w:val="Normal"/>
        <w:ind w:firstLine="720" w:start="1440" w:end="0"/>
        <w:rPr/>
      </w:pPr>
      <w:r>
        <w:rPr>
          <w:i/>
        </w:rPr>
        <w:t>Not</w:t>
      </w:r>
      <w:r>
        <w:rPr/>
        <w:t xml:space="preserve"> short run marginal cost</w:t>
      </w:r>
    </w:p>
    <w:p>
      <w:pPr>
        <w:pStyle w:val="Normal"/>
        <w:ind w:firstLine="720" w:start="1440" w:end="0"/>
        <w:rPr/>
      </w:pPr>
      <w:r>
        <w:rPr/>
        <w:t>Analysis should include buyers not just sellers</w:t>
      </w:r>
    </w:p>
    <w:p>
      <w:pPr>
        <w:pStyle w:val="Normal"/>
        <w:ind w:firstLine="720" w:start="1440" w:end="0"/>
        <w:rPr/>
      </w:pPr>
      <w:r>
        <w:rPr/>
        <w:t>Distinguish market power from abuse of market power</w:t>
      </w:r>
    </w:p>
    <w:p>
      <w:pPr>
        <w:pStyle w:val="Normal"/>
        <w:ind w:firstLine="720" w:start="1440" w:end="0"/>
        <w:rPr/>
      </w:pPr>
      <w:r>
        <w:rPr/>
        <w:t>Show market power does not exist?</w:t>
      </w:r>
    </w:p>
    <w:p>
      <w:pPr>
        <w:pStyle w:val="Heading1"/>
        <w:ind w:hanging="0" w:start="0"/>
        <w:rPr>
          <w:b/>
          <w:u w:val="none"/>
        </w:rPr>
      </w:pPr>
      <w:r>
        <w:rPr>
          <w:b/>
          <w:u w:val="none"/>
        </w:rPr>
        <w:t>Data</w:t>
      </w:r>
    </w:p>
    <w:p>
      <w:pPr>
        <w:pStyle w:val="Normal"/>
        <w:ind w:start="1440" w:end="0"/>
        <w:rPr/>
      </w:pPr>
      <w:r>
        <w:rPr/>
        <w:t xml:space="preserve">Alan – Hoecker (Massey?) asked us (generators?) to prove our prices were reasonable </w:t>
      </w:r>
    </w:p>
    <w:p>
      <w:pPr>
        <w:pStyle w:val="Normal"/>
        <w:ind w:firstLine="720" w:start="1440" w:end="0"/>
        <w:rPr/>
      </w:pPr>
      <w:r>
        <w:rPr/>
        <w:t>Scarcity rents</w:t>
      </w:r>
    </w:p>
    <w:p>
      <w:pPr>
        <w:pStyle w:val="Normal"/>
        <w:ind w:firstLine="720" w:start="1440" w:end="0"/>
        <w:rPr/>
      </w:pPr>
      <w:r>
        <w:rPr/>
        <w:t>Inference that our investment in peakers were on the margin and that’s why we cancelled them (cf. People who jumped into NASDAQ when prices peaked)</w:t>
      </w:r>
    </w:p>
    <w:p>
      <w:pPr>
        <w:pStyle w:val="Heading1"/>
        <w:ind w:hanging="0" w:start="0"/>
        <w:rPr>
          <w:b/>
          <w:u w:val="none"/>
        </w:rPr>
      </w:pPr>
      <w:r>
        <w:rPr>
          <w:b/>
          <w:u w:val="none"/>
        </w:rPr>
        <w:t>Interconnection Problem - Ron</w:t>
      </w:r>
    </w:p>
    <w:p>
      <w:pPr>
        <w:pStyle w:val="Heading1"/>
        <w:ind w:hanging="0" w:start="0"/>
        <w:rPr>
          <w:u w:val="none"/>
        </w:rPr>
      </w:pPr>
      <w:r>
        <w:rPr>
          <w:b/>
          <w:u w:val="none"/>
        </w:rPr>
        <w:t xml:space="preserve">RTO’s </w:t>
      </w:r>
      <w:r>
        <w:rPr>
          <w:u w:val="none"/>
        </w:rPr>
        <w:t>– WSCC wide RTO not necessary – ABC - Ron</w:t>
      </w:r>
    </w:p>
    <w:p>
      <w:pPr>
        <w:pStyle w:val="Normal"/>
        <w:ind w:start="1440" w:end="0"/>
        <w:rPr/>
      </w:pPr>
      <w:r>
        <w:rPr/>
        <w:t>Accelerate formation of RTOs – don’t let utilities drag their feet – if governance structure agreed – appoint independent Board to negotiate tariffs and contracts</w:t>
      </w:r>
    </w:p>
    <w:p>
      <w:pPr>
        <w:pStyle w:val="Normal"/>
        <w:ind w:start="1440" w:end="0"/>
        <w:rPr/>
      </w:pPr>
      <w:r>
        <w:rPr/>
        <w:t>Selection process – we don’t like it either</w:t>
      </w:r>
    </w:p>
    <w:p>
      <w:pPr>
        <w:pStyle w:val="Heading1"/>
        <w:ind w:hanging="0" w:start="0"/>
        <w:rPr>
          <w:b/>
          <w:u w:val="none"/>
        </w:rPr>
      </w:pPr>
      <w:r>
        <w:rPr>
          <w:b/>
          <w:u w:val="none"/>
        </w:rPr>
        <w:t>Refunds</w:t>
      </w:r>
    </w:p>
    <w:p>
      <w:pPr>
        <w:pStyle w:val="Normal"/>
        <w:ind w:start="1440" w:end="0"/>
        <w:rPr/>
      </w:pPr>
      <w:r>
        <w:rPr/>
        <w:t>Ron -</w:t>
      </w:r>
    </w:p>
    <w:p>
      <w:pPr>
        <w:pStyle w:val="Normal"/>
        <w:ind w:firstLine="720" w:start="1440" w:end="0"/>
        <w:rPr/>
      </w:pPr>
      <w:r>
        <w:rPr/>
        <w:t>Commission didn’t find rates were unjust and unreasonable – it found the rules and structure were unjust and unreasonable – therefore – no basis to require refunds.</w:t>
      </w:r>
    </w:p>
    <w:p>
      <w:pPr>
        <w:pStyle w:val="Normal"/>
        <w:ind w:firstLine="720" w:start="1440" w:end="0"/>
        <w:rPr/>
      </w:pPr>
      <w:r>
        <w:rPr/>
        <w:t xml:space="preserve">Equity argument - Tariff violations and </w:t>
      </w:r>
      <w:r>
        <w:rPr>
          <w:u w:val="single"/>
        </w:rPr>
        <w:t>Texaco</w:t>
      </w:r>
      <w:r>
        <w:rPr/>
        <w:t xml:space="preserve"> case</w:t>
      </w:r>
    </w:p>
    <w:p>
      <w:pPr>
        <w:pStyle w:val="Normal"/>
        <w:ind w:start="1440" w:end="0"/>
        <w:rPr/>
      </w:pPr>
      <w:r>
        <w:rPr/>
        <w:tab/>
        <w:t xml:space="preserve">Is prudence review allowed by states under </w:t>
      </w:r>
      <w:r>
        <w:rPr>
          <w:u w:val="single"/>
        </w:rPr>
        <w:t>Nantahala</w:t>
      </w:r>
      <w:r>
        <w:rPr/>
        <w:t xml:space="preserve"> case?</w:t>
      </w:r>
    </w:p>
    <w:p>
      <w:pPr>
        <w:pStyle w:val="Normal"/>
        <w:ind w:firstLine="720" w:start="1440" w:end="0"/>
        <w:rPr/>
      </w:pPr>
      <w:r>
        <w:rPr/>
        <w:t>Appendix E – address and beef up especially last page “no court or Commission precedent”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Alan - Risks that drive liquidity from market:</w:t>
      </w:r>
    </w:p>
    <w:p>
      <w:pPr>
        <w:pStyle w:val="Normal"/>
        <w:ind w:start="1440" w:end="0"/>
        <w:rPr/>
      </w:pPr>
      <w:r>
        <w:rPr/>
        <w:tab/>
        <w:t xml:space="preserve">Refunds </w:t>
      </w:r>
    </w:p>
    <w:p>
      <w:pPr>
        <w:pStyle w:val="Normal"/>
        <w:ind w:firstLine="720" w:start="1440" w:end="0"/>
        <w:rPr/>
      </w:pPr>
      <w:r>
        <w:rPr/>
        <w:t>Too long refund period</w:t>
      </w:r>
    </w:p>
    <w:p>
      <w:pPr>
        <w:pStyle w:val="Normal"/>
        <w:ind w:firstLine="720" w:start="1440" w:end="0"/>
        <w:rPr/>
      </w:pPr>
      <w:r>
        <w:rPr/>
        <w:t>Too long to wait for decision on any allegations of violations</w:t>
      </w:r>
    </w:p>
    <w:p>
      <w:pPr>
        <w:pStyle w:val="Heading1"/>
        <w:ind w:hanging="0" w:start="0"/>
        <w:rPr>
          <w:u w:val="none"/>
        </w:rPr>
      </w:pPr>
      <w:r>
        <w:rPr>
          <w:b/>
          <w:u w:val="none"/>
        </w:rPr>
        <w:t>Requiring economical dispatch including “secure constrained redispatch”?</w:t>
      </w:r>
      <w:r>
        <w:rPr>
          <w:u w:val="none"/>
        </w:rPr>
        <w:t xml:space="preserve">  Alan - </w:t>
      </w:r>
    </w:p>
    <w:p>
      <w:pPr>
        <w:pStyle w:val="Normal"/>
        <w:ind w:start="1440" w:end="0"/>
        <w:rPr/>
      </w:pPr>
      <w:r>
        <w:rPr/>
        <w:t>Look in San Diego filing</w:t>
      </w:r>
    </w:p>
    <w:p>
      <w:pPr>
        <w:pStyle w:val="Normal"/>
        <w:ind w:start="1440" w:end="0"/>
        <w:rPr/>
      </w:pPr>
      <w:r>
        <w:rPr/>
        <w:t>Get Hogan /Harvey paper</w:t>
      </w:r>
    </w:p>
    <w:p>
      <w:pPr>
        <w:pStyle w:val="Heading1"/>
        <w:ind w:hanging="0" w:start="0"/>
        <w:rPr>
          <w:u w:val="none"/>
        </w:rPr>
      </w:pPr>
      <w:r>
        <w:rPr>
          <w:b/>
          <w:u w:val="none"/>
        </w:rPr>
        <w:t>PX reports</w:t>
      </w:r>
      <w:r>
        <w:rPr>
          <w:u w:val="none"/>
        </w:rPr>
        <w:t xml:space="preserve"> – recent – Alan review</w:t>
      </w:r>
    </w:p>
    <w:p>
      <w:pPr>
        <w:pStyle w:val="Heading1"/>
        <w:ind w:hanging="0" w:start="0"/>
        <w:rPr>
          <w:u w:val="none"/>
        </w:rPr>
      </w:pPr>
      <w:r>
        <w:rPr>
          <w:b/>
          <w:u w:val="none"/>
        </w:rPr>
        <w:t>Oppose ISO in forward market (?)</w:t>
      </w:r>
      <w:r>
        <w:rPr>
          <w:u w:val="none"/>
        </w:rPr>
        <w:t xml:space="preserve"> -Alan</w:t>
      </w:r>
    </w:p>
    <w:p>
      <w:pPr>
        <w:pStyle w:val="Normal"/>
        <w:ind w:start="1440" w:end="0"/>
        <w:rPr/>
      </w:pPr>
      <w:r>
        <w:rPr/>
        <w:t xml:space="preserve">Although as long as any price cap . . . . </w:t>
      </w:r>
    </w:p>
    <w:p>
      <w:pPr>
        <w:pStyle w:val="Heading1"/>
        <w:ind w:hanging="0" w:start="0"/>
        <w:rPr>
          <w:u w:val="none"/>
        </w:rPr>
      </w:pPr>
      <w:r>
        <w:rPr>
          <w:b/>
          <w:u w:val="none"/>
        </w:rPr>
        <w:t>Oppose putting ISO &amp; PX together</w:t>
      </w:r>
      <w:r>
        <w:rPr>
          <w:u w:val="none"/>
        </w:rPr>
        <w:t xml:space="preserve"> - Alan</w:t>
      </w:r>
    </w:p>
    <w:p>
      <w:pPr>
        <w:pStyle w:val="Heading1"/>
        <w:ind w:hanging="0" w:start="0"/>
        <w:rPr>
          <w:u w:val="none"/>
        </w:rPr>
      </w:pPr>
      <w:r>
        <w:rPr>
          <w:b/>
          <w:u w:val="none"/>
        </w:rPr>
        <w:t>LMP v. zonal</w:t>
      </w:r>
      <w:r>
        <w:rPr>
          <w:u w:val="none"/>
        </w:rPr>
        <w:t xml:space="preserve"> – Alan – Sempra, Calpine call for LMP.  Our traders don’t care as long as not too many prices</w:t>
      </w:r>
    </w:p>
    <w:p>
      <w:pPr>
        <w:pStyle w:val="Heading1"/>
        <w:ind w:hanging="0" w:start="0"/>
        <w:rPr>
          <w:u w:val="none"/>
        </w:rPr>
      </w:pPr>
      <w:r>
        <w:rPr>
          <w:b/>
          <w:u w:val="none"/>
          <w:rPrChange w:id="0" w:author="mhain" w:date="2000-11-09T17:19:00Z"/>
        </w:rPr>
        <w:t>Penalty on generation for over scheduling</w:t>
      </w:r>
      <w:r>
        <w:rPr>
          <w:u w:val="none"/>
        </w:rPr>
        <w:t xml:space="preserve"> – oppose - Alan</w:t>
      </w:r>
    </w:p>
    <w:p>
      <w:pPr>
        <w:pStyle w:val="Heading1"/>
        <w:ind w:hanging="0" w:start="0"/>
        <w:rPr>
          <w:b/>
          <w:u w:val="none"/>
        </w:rPr>
      </w:pPr>
      <w:r>
        <w:rPr>
          <w:b/>
          <w:u w:val="none"/>
          <w:rPrChange w:id="0" w:author="mhain" w:date="2000-11-09T17:19:00Z"/>
        </w:rPr>
        <w:t xml:space="preserve">Demand Side </w:t>
      </w:r>
    </w:p>
    <w:p>
      <w:pPr>
        <w:pStyle w:val="Normal"/>
        <w:ind w:start="1440" w:end="0"/>
        <w:rPr/>
      </w:pPr>
      <w:r>
        <w:rPr/>
        <w:t>Alan/Sue - No response this summer</w:t>
      </w:r>
    </w:p>
    <w:p>
      <w:pPr>
        <w:pStyle w:val="Heading1"/>
        <w:ind w:hanging="0" w:start="0"/>
        <w:rPr>
          <w:b/>
          <w:u w:val="none"/>
        </w:rPr>
      </w:pPr>
      <w:r>
        <w:rPr>
          <w:b/>
          <w:u w:val="none"/>
          <w:rPrChange w:id="0" w:author="mhain" w:date="2000-11-09T17:19:00Z"/>
        </w:rPr>
        <w:t>Price Caps</w:t>
      </w:r>
    </w:p>
    <w:p>
      <w:pPr>
        <w:pStyle w:val="Normal"/>
        <w:ind w:firstLine="720" w:start="720" w:end="0"/>
        <w:rPr/>
      </w:pPr>
      <w:r>
        <w:rPr/>
        <w:t>Ron - Documentation overly burdensome</w:t>
      </w:r>
    </w:p>
    <w:p>
      <w:pPr>
        <w:pStyle w:val="Normal"/>
        <w:ind w:firstLine="720" w:start="720" w:end="0"/>
        <w:rPr/>
      </w:pPr>
      <w:r>
        <w:rPr/>
        <w:t>Alan - Must be temporary</w:t>
      </w:r>
    </w:p>
    <w:p>
      <w:pPr>
        <w:pStyle w:val="Normal"/>
        <w:ind w:firstLine="720" w:start="720" w:end="0"/>
        <w:rPr/>
      </w:pPr>
      <w:r>
        <w:rPr/>
        <w:t>Ron and Alan - Soft Cap = Hard cap</w:t>
      </w:r>
    </w:p>
    <w:p>
      <w:pPr>
        <w:pStyle w:val="Normal"/>
        <w:ind w:firstLine="720" w:start="720" w:end="0"/>
        <w:rPr/>
      </w:pPr>
      <w:r>
        <w:rPr/>
        <w:t>Ron – clarification caps, refunds don’t apply to forward market</w:t>
      </w:r>
    </w:p>
    <w:p>
      <w:pPr>
        <w:pStyle w:val="Normal"/>
        <w:ind w:firstLine="720" w:start="720" w:end="0"/>
        <w:rPr/>
      </w:pPr>
      <w:r>
        <w:rPr/>
        <w:t>Alan - Discuss regional caps</w:t>
      </w:r>
    </w:p>
    <w:p>
      <w:pPr>
        <w:pStyle w:val="Normal"/>
        <w:ind w:firstLine="720" w:start="720" w:end="0"/>
        <w:rPr/>
      </w:pPr>
      <w:r>
        <w:rPr/>
        <w:t xml:space="preserve">Opportunity Costs – </w:t>
      </w:r>
    </w:p>
    <w:p>
      <w:pPr>
        <w:pStyle w:val="Normal"/>
        <w:ind w:firstLine="720" w:start="1440" w:end="0"/>
        <w:rPr/>
      </w:pPr>
      <w:r>
        <w:rPr/>
        <w:t>Ron - No Commission standards - Get any legal filings w/opportunity costs for Alan</w:t>
      </w:r>
    </w:p>
    <w:p>
      <w:pPr>
        <w:pStyle w:val="Normal"/>
        <w:ind w:firstLine="720" w:start="1440" w:end="0"/>
        <w:rPr/>
      </w:pPr>
      <w:r>
        <w:rPr/>
        <w:t xml:space="preserve">Alan – Define – discuss scarcity rents  </w:t>
      </w:r>
    </w:p>
    <w:p>
      <w:pPr>
        <w:pStyle w:val="Normal"/>
        <w:ind w:firstLine="720" w:start="720" w:end="0"/>
        <w:rPr/>
      </w:pPr>
      <w:r>
        <w:rPr/>
        <w:tab/>
        <w:tab/>
        <w:t>Explain why load based caps bad - Alan</w:t>
      </w:r>
    </w:p>
    <w:p>
      <w:pPr>
        <w:pStyle w:val="Heading1"/>
        <w:ind w:hanging="0" w:start="0"/>
        <w:rPr>
          <w:b/>
          <w:u w:val="none"/>
        </w:rPr>
      </w:pPr>
      <w:r>
        <w:rPr>
          <w:b/>
          <w:u w:val="none"/>
          <w:rPrChange w:id="0" w:author="mhain" w:date="2000-11-09T17:19:00Z"/>
        </w:rPr>
        <w:t>Penalties on under scheduling</w:t>
      </w:r>
    </w:p>
    <w:p>
      <w:pPr>
        <w:pStyle w:val="Heading1"/>
        <w:numPr>
          <w:ilvl w:val="0"/>
          <w:numId w:val="0"/>
        </w:numPr>
        <w:ind w:firstLine="720" w:start="720" w:end="0"/>
        <w:rPr>
          <w:u w:val="none"/>
        </w:rPr>
      </w:pPr>
      <w:r>
        <w:rPr>
          <w:u w:val="none"/>
        </w:rPr>
        <w:t>Should they be lower penalty? Ask Traders</w:t>
      </w:r>
    </w:p>
    <w:p>
      <w:pPr>
        <w:pStyle w:val="Normal"/>
        <w:rPr/>
      </w:pPr>
      <w:r>
        <w:rPr/>
        <w:tab/>
        <w:tab/>
        <w:t>They shouldn’t be on generation - Alan</w:t>
      </w:r>
    </w:p>
    <w:p>
      <w:pPr>
        <w:pStyle w:val="Heading1"/>
        <w:ind w:hanging="0" w:start="0"/>
        <w:rPr>
          <w:b/>
          <w:u w:val="none"/>
        </w:rPr>
      </w:pPr>
      <w:r>
        <w:rPr>
          <w:b/>
          <w:u w:val="none"/>
          <w:rPrChange w:id="0" w:author="mhain" w:date="2000-11-09T17:19:00Z"/>
        </w:rPr>
        <w:t>Asymmetrical reporting requirement/Penalty</w:t>
      </w:r>
    </w:p>
    <w:p>
      <w:pPr>
        <w:pStyle w:val="Normal"/>
        <w:ind w:firstLine="720" w:start="720" w:end="0"/>
        <w:rPr/>
      </w:pPr>
      <w:r>
        <w:rPr/>
        <w:t>Ask Traders</w:t>
      </w:r>
    </w:p>
    <w:p>
      <w:pPr>
        <w:pStyle w:val="Heading1"/>
        <w:ind w:hanging="0" w:start="0"/>
        <w:rPr>
          <w:b/>
          <w:u w:val="none"/>
        </w:rPr>
      </w:pPr>
      <w:r>
        <w:rPr>
          <w:b/>
          <w:u w:val="none"/>
          <w:rPrChange w:id="0" w:author="mhain" w:date="2000-11-09T17:19:00Z"/>
        </w:rPr>
        <w:t>Forward contract only answer</w:t>
      </w:r>
    </w:p>
    <w:p>
      <w:pPr>
        <w:pStyle w:val="Heading1"/>
        <w:numPr>
          <w:ilvl w:val="0"/>
          <w:numId w:val="0"/>
        </w:numPr>
        <w:ind w:firstLine="720" w:start="720" w:end="0"/>
        <w:rPr>
          <w:u w:val="none"/>
        </w:rPr>
      </w:pPr>
      <w:r>
        <w:rPr>
          <w:u w:val="none"/>
        </w:rPr>
        <w:t>Unless go back to ROR reg. -Alan</w:t>
      </w:r>
    </w:p>
    <w:p>
      <w:pPr>
        <w:pStyle w:val="Normal"/>
        <w:ind w:start="1440" w:end="0"/>
        <w:rPr/>
      </w:pPr>
      <w:r>
        <w:rPr/>
        <w:t>Only time forward market not contestable is if true monopolist -  Alan</w:t>
      </w:r>
    </w:p>
    <w:p>
      <w:pPr>
        <w:pStyle w:val="Heading1"/>
        <w:numPr>
          <w:ilvl w:val="0"/>
          <w:numId w:val="0"/>
        </w:numPr>
        <w:ind w:firstLine="720" w:start="720" w:end="0"/>
        <w:rPr>
          <w:u w:val="none"/>
        </w:rPr>
      </w:pPr>
      <w:r>
        <w:rPr>
          <w:u w:val="none"/>
        </w:rPr>
        <w:t>Show utilities still not buying forward - Alan</w:t>
      </w:r>
    </w:p>
    <w:p>
      <w:pPr>
        <w:pStyle w:val="Normal"/>
        <w:ind w:start="1440" w:end="0"/>
        <w:rPr/>
      </w:pPr>
      <w:r>
        <w:rPr/>
        <w:t>Show forward prices? - Alan</w:t>
      </w:r>
    </w:p>
    <w:p>
      <w:pPr>
        <w:pStyle w:val="Heading1"/>
        <w:ind w:hanging="0" w:start="0"/>
        <w:rPr>
          <w:b/>
          <w:u w:val="none"/>
        </w:rPr>
      </w:pPr>
      <w:r>
        <w:rPr>
          <w:b/>
          <w:u w:val="none"/>
          <w:rPrChange w:id="0" w:author="mhain" w:date="2000-11-09T17:19:00Z"/>
        </w:rPr>
        <w:t>Single price vs. as-bid</w:t>
      </w:r>
    </w:p>
    <w:p>
      <w:pPr>
        <w:pStyle w:val="Normal"/>
        <w:ind w:start="1440" w:end="0"/>
        <w:rPr/>
      </w:pPr>
      <w:r>
        <w:rPr/>
        <w:t>Don’t address(?) - Traders don’t care - we’re more worried about ISO becoming monopsonist buyer</w:t>
      </w:r>
    </w:p>
    <w:p>
      <w:pPr>
        <w:pStyle w:val="Heading1"/>
        <w:ind w:hanging="0" w:start="0"/>
        <w:rPr>
          <w:b/>
          <w:u w:val="none"/>
        </w:rPr>
      </w:pPr>
      <w:r>
        <w:rPr>
          <w:b/>
          <w:u w:val="none"/>
          <w:rPrChange w:id="0" w:author="mhain" w:date="2000-11-09T17:19:00Z"/>
        </w:rPr>
        <w:t>Underscheduling</w:t>
      </w:r>
    </w:p>
    <w:p>
      <w:pPr>
        <w:pStyle w:val="Normal"/>
        <w:ind w:start="1440" w:end="0"/>
        <w:rPr/>
      </w:pPr>
      <w:r>
        <w:rPr/>
        <w:t>High prices fault of monoposonist</w:t>
      </w:r>
    </w:p>
    <w:p>
      <w:pPr>
        <w:pStyle w:val="Heading1"/>
        <w:ind w:hanging="0" w:start="0"/>
        <w:rPr>
          <w:u w:val="none"/>
        </w:rPr>
      </w:pPr>
      <w:r>
        <w:rPr>
          <w:b/>
          <w:u w:val="none"/>
          <w:rPrChange w:id="0" w:author="mhain" w:date="2000-11-09T17:19:00Z"/>
        </w:rPr>
        <w:t>Robustness of FERC’s heat rates and full costs</w:t>
      </w:r>
      <w:r>
        <w:rPr>
          <w:u w:val="none"/>
        </w:rPr>
        <w:t xml:space="preserve"> – challenged by PG&amp;E – bolster? - Alan</w:t>
      </w:r>
    </w:p>
    <w:p>
      <w:pPr>
        <w:pStyle w:val="Normal"/>
        <w:ind w:start="1440" w:end="0"/>
        <w:rPr/>
      </w:pPr>
      <w:r>
        <w:rPr/>
        <w:t>(Reliant’s paper) Buyers bid up the price much more than sellers bid up what they were selling for and legitimate scarcity rent? – Alan</w:t>
      </w:r>
    </w:p>
    <w:p>
      <w:pPr>
        <w:pStyle w:val="Heading1"/>
        <w:ind w:hanging="0" w:start="0"/>
        <w:rPr>
          <w:b/>
          <w:u w:val="none"/>
        </w:rPr>
      </w:pPr>
      <w:r>
        <w:rPr>
          <w:b/>
          <w:u w:val="none"/>
          <w:rPrChange w:id="0" w:author="mhain" w:date="2000-11-09T17:19:00Z"/>
        </w:rPr>
        <w:t>Removing buy/sell allows utilities instant 50% hedge</w:t>
      </w:r>
    </w:p>
    <w:p>
      <w:pPr>
        <w:pStyle w:val="Normal"/>
        <w:ind w:start="1440" w:end="0"/>
        <w:rPr/>
      </w:pPr>
      <w:r>
        <w:rPr/>
        <w:t>Only need to hedge another 25-30% - questionable – Alan</w:t>
      </w:r>
    </w:p>
    <w:p>
      <w:pPr>
        <w:pStyle w:val="Heading1"/>
        <w:ind w:hanging="0" w:start="0"/>
        <w:rPr>
          <w:u w:val="none"/>
        </w:rPr>
      </w:pPr>
      <w:r>
        <w:rPr>
          <w:b/>
          <w:u w:val="none"/>
          <w:rPrChange w:id="0" w:author="mhain" w:date="2000-11-09T17:19:00Z"/>
        </w:rPr>
        <w:t>OOM</w:t>
      </w:r>
      <w:r>
        <w:rPr>
          <w:u w:val="none"/>
        </w:rPr>
        <w:t xml:space="preserve"> – needs to be fixed – Alan</w:t>
      </w:r>
    </w:p>
    <w:p>
      <w:pPr>
        <w:pStyle w:val="Heading1"/>
        <w:ind w:hanging="0" w:start="0"/>
        <w:rPr>
          <w:u w:val="none"/>
        </w:rPr>
      </w:pPr>
      <w:r>
        <w:rPr>
          <w:b/>
          <w:u w:val="none"/>
          <w:rPrChange w:id="0" w:author="mhain" w:date="2000-11-09T17:19:00Z"/>
        </w:rPr>
        <w:t>Allowing UDC’s to be their own SC’s</w:t>
      </w:r>
      <w:r>
        <w:rPr>
          <w:u w:val="none"/>
        </w:rPr>
        <w:t xml:space="preserve"> – Traders position?</w:t>
      </w:r>
    </w:p>
    <w:sectPr>
      <w:type w:val="nextPage"/>
      <w:pgSz w:w="12240" w:h="15840"/>
      <w:pgMar w:left="1080" w:right="1080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720" w:hanging="72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ind w:hanging="0" w:start="1440" w:end="0"/>
      <w:outlineLvl w:val="1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2000-11-09T22:36:00Z</dcterms:created>
  <dc:creator>Lysa Akin</dc:creator>
  <dc:description/>
  <dc:language>en-CA</dc:language>
  <cp:lastModifiedBy>mhain</cp:lastModifiedBy>
  <cp:lastPrinted>2000-11-09T17:02:00Z</cp:lastPrinted>
  <dcterms:modified xsi:type="dcterms:W3CDTF">2000-11-09T22:49:00Z</dcterms:modified>
  <cp:revision>5</cp:revision>
  <dc:subject/>
  <dc:title>I</dc:title>
</cp:coreProperties>
</file>