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ernhardMod BT" w:hAnsi="BernhardMod BT" w:cs="BernhardMod BT"/>
          <w:b/>
          <w:i/>
          <w:i/>
          <w:sz w:val="26"/>
        </w:rPr>
      </w:pPr>
      <w:r>
        <w:rPr>
          <w:rFonts w:cs="BernhardMod BT" w:ascii="BernhardMod BT" w:hAnsi="BernhardMod BT"/>
          <w:b/>
          <w:i/>
          <w:sz w:val="26"/>
        </w:rPr>
        <w:t>Promising Gas Options – I.99-07-003</w:t>
      </w:r>
    </w:p>
    <w:p>
      <w:pPr>
        <w:pStyle w:val="Normal"/>
        <w:spacing w:before="120" w:after="0"/>
        <w:jc w:val="center"/>
        <w:rPr>
          <w:rFonts w:ascii="Bookman Old Style" w:hAnsi="Bookman Old Style" w:cs="Bookman Old Style"/>
          <w:b/>
        </w:rPr>
      </w:pPr>
      <w:bookmarkStart w:id="0" w:name="DocTitle"/>
      <w:r>
        <w:rPr>
          <w:rFonts w:cs="Bookman Old Style" w:ascii="Bookman Old Style" w:hAnsi="Bookman Old Style"/>
          <w:b/>
        </w:rPr>
        <w:t>Notes from August 29 OFO Forum</w:t>
      </w:r>
      <w:bookmarkEnd w:id="0"/>
    </w:p>
    <w:p>
      <w:pPr>
        <w:pStyle w:val="Normal"/>
        <w:jc w:val="center"/>
        <w:rPr>
          <w:rFonts w:ascii="GeoSlab703 Lt BT;Minion Web" w:hAnsi="GeoSlab703 Lt BT;Minion Web" w:cs="GeoSlab703 Lt BT;Minion Web"/>
          <w:b/>
          <w:sz w:val="24"/>
        </w:rPr>
      </w:pPr>
      <w:bookmarkStart w:id="1" w:name="DocDate"/>
      <w:r>
        <w:rPr>
          <w:rFonts w:cs="GeoSlab703 Lt BT;Minion Web" w:ascii="GeoSlab703 Lt BT;Minion Web" w:hAnsi="GeoSlab703 Lt BT;Minion Web"/>
          <w:b/>
          <w:sz w:val="24"/>
        </w:rPr>
        <w:t>September 11, 2000</w:t>
      </w:r>
      <w:bookmarkEnd w:id="1"/>
    </w:p>
    <w:p>
      <w:pPr>
        <w:pStyle w:val="Normal"/>
        <w:rPr>
          <w:rFonts w:ascii="GeoSlab703 Lt BT;Minion Web" w:hAnsi="GeoSlab703 Lt BT;Minion Web" w:cs="GeoSlab703 Lt BT;Minion Web"/>
          <w:b/>
          <w:sz w:val="24"/>
        </w:rPr>
      </w:pPr>
      <w:r>
        <w:rPr>
          <w:rFonts w:cs="GeoSlab703 Lt BT;Minion Web" w:ascii="GeoSlab703 Lt BT;Minion Web" w:hAnsi="GeoSlab703 Lt BT;Minion Web"/>
          <w:b/>
          <w:sz w:val="24"/>
        </w:rPr>
      </w:r>
    </w:p>
    <w:p>
      <w:pPr>
        <w:pStyle w:val="Normal"/>
        <w:rPr>
          <w:sz w:val="24"/>
        </w:rPr>
      </w:pPr>
      <w:r>
        <w:rPr>
          <w:sz w:val="24"/>
        </w:rPr>
        <w:t>The following actions were agreed to by the Parties attending the first OFO Forum.  These actions are listed by the issues identified in the OFO Settlement and identified at the Forum.</w:t>
      </w:r>
    </w:p>
    <w:p>
      <w:pPr>
        <w:pStyle w:val="Normal"/>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1008"/>
        <w:gridCol w:w="4500"/>
        <w:gridCol w:w="4050"/>
      </w:tblGrid>
      <w:tr>
        <w:trPr>
          <w:tblHeader w:val="true"/>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b/>
                <w:sz w:val="24"/>
              </w:rPr>
            </w:pPr>
            <w:r>
              <w:rPr>
                <w:b/>
                <w:sz w:val="24"/>
              </w:rPr>
              <w:t>Section</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b/>
                <w:sz w:val="24"/>
              </w:rPr>
            </w:pPr>
            <w:r>
              <w:rPr>
                <w:b/>
                <w:sz w:val="24"/>
              </w:rPr>
              <w:t xml:space="preserve">   </w:t>
            </w:r>
            <w:r>
              <w:rPr>
                <w:b/>
                <w:sz w:val="24"/>
              </w:rPr>
              <w:t>Issue</w:t>
            </w:r>
          </w:p>
        </w:tc>
        <w:tc>
          <w:tcPr>
            <w:tcW w:w="4050" w:type="dxa"/>
            <w:tcBorders>
              <w:top w:val="single" w:sz="4" w:space="0" w:color="000000"/>
              <w:start w:val="single" w:sz="4" w:space="0" w:color="000000"/>
              <w:bottom w:val="single" w:sz="4" w:space="0" w:color="000000"/>
              <w:end w:val="single" w:sz="4" w:space="0" w:color="000000"/>
            </w:tcBorders>
          </w:tcPr>
          <w:p>
            <w:pPr>
              <w:pStyle w:val="Normal"/>
              <w:spacing w:before="60" w:after="60"/>
              <w:rPr>
                <w:b/>
                <w:sz w:val="24"/>
              </w:rPr>
            </w:pPr>
            <w:r>
              <w:rPr>
                <w:b/>
                <w:sz w:val="24"/>
              </w:rPr>
              <w:t xml:space="preserve">   </w:t>
            </w:r>
            <w:r>
              <w:rPr>
                <w:b/>
                <w:sz w:val="24"/>
              </w:rPr>
              <w:t>Action</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§B.2</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Within six months, if system-wide OFOs not reduced by 25%, then PG&amp;E in its next OFO Report will provide an analysis of why the number of OFOs has not been reduced and propose additional measures to reduce the number of system-wide OFOs.</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60" w:after="60"/>
              <w:rPr>
                <w:sz w:val="24"/>
              </w:rPr>
            </w:pPr>
            <w:r>
              <w:rPr>
                <w:sz w:val="24"/>
              </w:rPr>
              <w:t>Monitor.</w:t>
            </w:r>
          </w:p>
          <w:p>
            <w:pPr>
              <w:pStyle w:val="Normal"/>
              <w:numPr>
                <w:ilvl w:val="0"/>
                <w:numId w:val="3"/>
              </w:numPr>
              <w:spacing w:before="60" w:after="60"/>
              <w:rPr>
                <w:sz w:val="24"/>
              </w:rPr>
            </w:pPr>
            <w:r>
              <w:rPr>
                <w:sz w:val="24"/>
              </w:rPr>
              <w:t>System-wide OFOs were reduced by 67% during 2</w:t>
            </w:r>
            <w:r>
              <w:rPr>
                <w:sz w:val="24"/>
                <w:vertAlign w:val="superscript"/>
              </w:rPr>
              <w:t>nd</w:t>
            </w:r>
            <w:r>
              <w:rPr>
                <w:sz w:val="24"/>
              </w:rPr>
              <w:t xml:space="preserve"> Quarter 2000.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§B.3.a</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The effectiveness of customer-specific OFOs and possible improvements to the procedure outlined in this Settlement, including the need and methodology for changes to the Performance Factor.  This includes options to discourage adverse balancing behavior by non-targeted entities during customer-specific OFOs.</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Use Settlement procedures to modify the Performance Factor as needed.</w:t>
            </w:r>
          </w:p>
          <w:p>
            <w:pPr>
              <w:pStyle w:val="Normal"/>
              <w:numPr>
                <w:ilvl w:val="0"/>
                <w:numId w:val="5"/>
              </w:numPr>
              <w:spacing w:before="60" w:after="60"/>
              <w:rPr>
                <w:sz w:val="24"/>
              </w:rPr>
            </w:pPr>
            <w:r>
              <w:rPr>
                <w:sz w:val="24"/>
              </w:rPr>
              <w:t>Monitor effectiveness of customer-specific OFOs.</w:t>
            </w:r>
          </w:p>
          <w:p>
            <w:pPr>
              <w:pStyle w:val="Normal"/>
              <w:numPr>
                <w:ilvl w:val="0"/>
                <w:numId w:val="5"/>
              </w:numPr>
              <w:spacing w:before="60" w:after="60"/>
              <w:rPr>
                <w:sz w:val="24"/>
              </w:rPr>
            </w:pPr>
            <w:r>
              <w:rPr>
                <w:sz w:val="24"/>
              </w:rPr>
              <w:t>Evaluate options to improve effectiveness and include in next OFO Report.  (See below for suggested options.)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§B.3.b</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Whether and how parties who significantly contribute to system-wide OFOs on a repeated basis should be specifically identified.  Issue broadened to include options to more accurately target entities for customer-specific OFOs.</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Evaluate options to improve targeting of entities during customer-specific OFOs.  (See below for suggested options.)</w:t>
            </w:r>
          </w:p>
          <w:p>
            <w:pPr>
              <w:pStyle w:val="Normal"/>
              <w:numPr>
                <w:ilvl w:val="0"/>
                <w:numId w:val="5"/>
              </w:numPr>
              <w:spacing w:before="60" w:after="60"/>
              <w:rPr>
                <w:sz w:val="24"/>
              </w:rPr>
            </w:pPr>
            <w:r>
              <w:rPr>
                <w:sz w:val="24"/>
              </w:rPr>
              <w:t>Monitor.</w:t>
            </w:r>
          </w:p>
          <w:p>
            <w:pPr>
              <w:pStyle w:val="Normal"/>
              <w:numPr>
                <w:ilvl w:val="0"/>
                <w:numId w:val="5"/>
              </w:numPr>
              <w:spacing w:before="60" w:after="60"/>
              <w:rPr>
                <w:sz w:val="24"/>
              </w:rPr>
            </w:pPr>
            <w:r>
              <w:rPr>
                <w:sz w:val="24"/>
              </w:rPr>
              <w:t>Explore options with concerned parties, and notify all parties if changes are proposed.</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§B.3.c</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Whether the exemption for OFO noncompliance charges should be increased.</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Do not change at this time.</w:t>
            </w:r>
          </w:p>
          <w:p>
            <w:pPr>
              <w:pStyle w:val="Normal"/>
              <w:numPr>
                <w:ilvl w:val="0"/>
                <w:numId w:val="5"/>
              </w:numPr>
              <w:spacing w:before="60" w:after="60"/>
              <w:rPr>
                <w:sz w:val="24"/>
              </w:rPr>
            </w:pPr>
            <w:r>
              <w:rPr>
                <w:sz w:val="24"/>
              </w:rPr>
              <w:t>Monitor.</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§B.3.d</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The need for the allocation of additional storage to balancing.  (Also see Comprehensive OII Settlement §3.1.2.7.)</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Given the reduction in OFOs, take no actions during the term of the OFO and OII Settlements.</w:t>
            </w:r>
          </w:p>
          <w:p>
            <w:pPr>
              <w:pStyle w:val="Normal"/>
              <w:numPr>
                <w:ilvl w:val="0"/>
                <w:numId w:val="5"/>
              </w:numPr>
              <w:spacing w:before="60" w:after="60"/>
              <w:rPr>
                <w:sz w:val="24"/>
              </w:rPr>
            </w:pPr>
            <w:r>
              <w:rPr>
                <w:sz w:val="24"/>
              </w:rPr>
              <w:t>Consider this issue as part of the Gas Accord II discussions.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§B.3.e</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Changing the Cash-Out procedures.</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Monitor the level of cash-outs.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§B.3.f</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Other Issues:  Reducing California gas production imbalances, particularly on OFO days.</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Talk to affected parties about the options and the possible regulatory process needed to change.</w:t>
            </w:r>
          </w:p>
          <w:p>
            <w:pPr>
              <w:pStyle w:val="Normal"/>
              <w:numPr>
                <w:ilvl w:val="0"/>
                <w:numId w:val="5"/>
              </w:numPr>
              <w:spacing w:before="60" w:after="60"/>
              <w:rPr>
                <w:sz w:val="24"/>
              </w:rPr>
            </w:pPr>
            <w:r>
              <w:rPr>
                <w:sz w:val="24"/>
              </w:rPr>
              <w:t>OFO Forum expressed a preference for the “freeze nominations” option.</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§B.3.f</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Other Issues:  Size and use of the 2.2 Bcf of storage assigned to Balancing.</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Gas Accord II issue.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§B.3.f</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4"/>
              </w:rPr>
            </w:pPr>
            <w:r>
              <w:rPr>
                <w:sz w:val="24"/>
              </w:rPr>
              <w:t>Other Issues:  Increase lag time for posting of electric generation class data.</w:t>
            </w:r>
          </w:p>
        </w:tc>
        <w:tc>
          <w:tcPr>
            <w:tcW w:w="405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60" w:after="60"/>
              <w:rPr>
                <w:sz w:val="24"/>
              </w:rPr>
            </w:pPr>
            <w:r>
              <w:rPr>
                <w:sz w:val="24"/>
              </w:rPr>
              <w:t>Do not change at this time.</w:t>
            </w:r>
          </w:p>
        </w:tc>
      </w:tr>
    </w:tbl>
    <w:p>
      <w:pPr>
        <w:pStyle w:val="Normal"/>
        <w:rPr>
          <w:sz w:val="26"/>
        </w:rPr>
      </w:pPr>
      <w:r>
        <w:rPr>
          <w:sz w:val="26"/>
        </w:rPr>
      </w:r>
    </w:p>
    <w:p>
      <w:pPr>
        <w:pStyle w:val="Normal"/>
        <w:rPr>
          <w:sz w:val="26"/>
        </w:rPr>
      </w:pPr>
      <w:r>
        <w:rPr>
          <w:sz w:val="26"/>
        </w:rPr>
      </w:r>
    </w:p>
    <w:p>
      <w:pPr>
        <w:pStyle w:val="Normal"/>
        <w:rPr>
          <w:sz w:val="24"/>
        </w:rPr>
      </w:pPr>
      <w:r>
        <w:rPr>
          <w:sz w:val="24"/>
        </w:rPr>
        <w:t>The following are ideas and options for consideration and evaluation in subsequent OFO Reports and discussions with parties.</w:t>
      </w:r>
    </w:p>
    <w:p>
      <w:pPr>
        <w:pStyle w:val="Normal"/>
        <w:ind w:start="720" w:end="0"/>
        <w:rPr>
          <w:sz w:val="24"/>
        </w:rPr>
      </w:pPr>
      <w:r>
        <w:rPr>
          <w:sz w:val="24"/>
        </w:rPr>
      </w:r>
    </w:p>
    <w:p>
      <w:pPr>
        <w:pStyle w:val="Normal"/>
        <w:ind w:start="720" w:end="0"/>
        <w:rPr>
          <w:sz w:val="24"/>
        </w:rPr>
      </w:pPr>
      <w:r>
        <w:rPr>
          <w:sz w:val="24"/>
        </w:rPr>
        <w:t>Options identified for improving the effectiveness of customer-specific OFOs (§B.3.a).  Focus is on entities who change their supply and imbalance on an OFO day, contrary to the needs of the pipeline.  This does not happen during system-wide OFOs since the entity would be exposed to penalties.</w:t>
      </w:r>
    </w:p>
    <w:p>
      <w:pPr>
        <w:pStyle w:val="Normal"/>
        <w:numPr>
          <w:ilvl w:val="0"/>
          <w:numId w:val="2"/>
        </w:numPr>
        <w:tabs>
          <w:tab w:val="left" w:pos="720" w:leader="none"/>
        </w:tabs>
        <w:ind w:hanging="360" w:start="1080" w:end="0"/>
        <w:rPr>
          <w:sz w:val="24"/>
        </w:rPr>
      </w:pPr>
      <w:r>
        <w:rPr>
          <w:sz w:val="24"/>
        </w:rPr>
        <w:t>Issue a less severe system-wide OFO for each customer-specific OFO day.</w:t>
      </w:r>
    </w:p>
    <w:p>
      <w:pPr>
        <w:pStyle w:val="Normal"/>
        <w:numPr>
          <w:ilvl w:val="0"/>
          <w:numId w:val="2"/>
        </w:numPr>
        <w:tabs>
          <w:tab w:val="left" w:pos="720" w:leader="none"/>
        </w:tabs>
        <w:ind w:hanging="360" w:start="1080" w:end="0"/>
        <w:rPr>
          <w:sz w:val="24"/>
        </w:rPr>
      </w:pPr>
      <w:r>
        <w:rPr>
          <w:sz w:val="24"/>
        </w:rPr>
        <w:t>Add rules to target “habitual” contributors on the OFO day.</w:t>
      </w:r>
    </w:p>
    <w:p>
      <w:pPr>
        <w:pStyle w:val="Normal"/>
        <w:numPr>
          <w:ilvl w:val="0"/>
          <w:numId w:val="4"/>
        </w:numPr>
        <w:tabs>
          <w:tab w:val="clear" w:pos="720"/>
          <w:tab w:val="left" w:pos="1440" w:leader="none"/>
        </w:tabs>
        <w:ind w:hanging="360" w:start="1440" w:end="0"/>
        <w:rPr>
          <w:sz w:val="24"/>
        </w:rPr>
      </w:pPr>
      <w:r>
        <w:rPr>
          <w:sz w:val="24"/>
        </w:rPr>
        <w:t>Targeted during future customer-specific OFOs.</w:t>
      </w:r>
    </w:p>
    <w:p>
      <w:pPr>
        <w:pStyle w:val="Normal"/>
        <w:numPr>
          <w:ilvl w:val="0"/>
          <w:numId w:val="4"/>
        </w:numPr>
        <w:tabs>
          <w:tab w:val="clear" w:pos="720"/>
          <w:tab w:val="left" w:pos="1440" w:leader="none"/>
        </w:tabs>
        <w:ind w:hanging="360" w:start="1440" w:end="0"/>
        <w:rPr>
          <w:sz w:val="24"/>
        </w:rPr>
      </w:pPr>
      <w:r>
        <w:rPr>
          <w:sz w:val="24"/>
        </w:rPr>
        <w:t>Add to customer-specific OFO list by 5:00 p.m. on the day before the OFO day.</w:t>
      </w:r>
    </w:p>
    <w:p>
      <w:pPr>
        <w:pStyle w:val="Normal"/>
        <w:numPr>
          <w:ilvl w:val="0"/>
          <w:numId w:val="4"/>
        </w:numPr>
        <w:tabs>
          <w:tab w:val="clear" w:pos="720"/>
          <w:tab w:val="left" w:pos="1440" w:leader="none"/>
        </w:tabs>
        <w:ind w:hanging="360" w:start="1440" w:end="0"/>
        <w:rPr>
          <w:sz w:val="24"/>
        </w:rPr>
      </w:pPr>
      <w:r>
        <w:rPr>
          <w:sz w:val="24"/>
        </w:rPr>
        <w:t>Publicly identify such contributors.</w:t>
      </w:r>
    </w:p>
    <w:p>
      <w:pPr>
        <w:pStyle w:val="Normal"/>
        <w:numPr>
          <w:ilvl w:val="0"/>
          <w:numId w:val="2"/>
        </w:numPr>
        <w:tabs>
          <w:tab w:val="left" w:pos="720" w:leader="none"/>
        </w:tabs>
        <w:ind w:hanging="360" w:start="1080" w:end="0"/>
        <w:rPr>
          <w:sz w:val="24"/>
        </w:rPr>
      </w:pPr>
      <w:r>
        <w:rPr>
          <w:sz w:val="24"/>
        </w:rPr>
        <w:t>Notify individual balancing entities of their significant contributor “data.”</w:t>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t>Options identified to more accurately target entities for customer-specific OFOs (§B.3.b).  Focus is on customers who are not significant contributors and are often targeted for a customer-specific OFO because of the way demand and supply are forecast for targeting purposes.  One problem is that the forecast data used for customers with highly variable loads may not reflect their actual supply-demand balance situation.</w:t>
      </w:r>
    </w:p>
    <w:p>
      <w:pPr>
        <w:pStyle w:val="Normal"/>
        <w:numPr>
          <w:ilvl w:val="0"/>
          <w:numId w:val="2"/>
        </w:numPr>
        <w:tabs>
          <w:tab w:val="left" w:pos="720" w:leader="none"/>
        </w:tabs>
        <w:ind w:hanging="360" w:start="1080" w:end="0"/>
        <w:rPr>
          <w:sz w:val="24"/>
        </w:rPr>
      </w:pPr>
      <w:r>
        <w:rPr>
          <w:sz w:val="24"/>
        </w:rPr>
        <w:t>“</w:t>
      </w:r>
      <w:r>
        <w:rPr>
          <w:sz w:val="24"/>
        </w:rPr>
        <w:t>Free Pass” for entities with previous measured compliance based on actual data instead of forecast data.</w:t>
      </w:r>
    </w:p>
    <w:p>
      <w:pPr>
        <w:pStyle w:val="Normal"/>
        <w:numPr>
          <w:ilvl w:val="0"/>
          <w:numId w:val="2"/>
        </w:numPr>
        <w:tabs>
          <w:tab w:val="left" w:pos="720" w:leader="none"/>
        </w:tabs>
        <w:ind w:hanging="360" w:start="1080" w:end="0"/>
        <w:rPr>
          <w:sz w:val="24"/>
        </w:rPr>
      </w:pPr>
      <w:r>
        <w:rPr>
          <w:sz w:val="24"/>
        </w:rPr>
        <w:t>Allow selected customers with high demand variation to provide a daily forecast to PG&amp;E which may be used in the targeting process.</w:t>
      </w:r>
    </w:p>
    <w:p>
      <w:pPr>
        <w:pStyle w:val="Normal"/>
        <w:numPr>
          <w:ilvl w:val="0"/>
          <w:numId w:val="2"/>
        </w:numPr>
        <w:tabs>
          <w:tab w:val="left" w:pos="720" w:leader="none"/>
        </w:tabs>
        <w:ind w:hanging="360" w:start="1080" w:end="0"/>
        <w:rPr>
          <w:sz w:val="24"/>
        </w:rPr>
      </w:pPr>
      <w:r>
        <w:rPr>
          <w:sz w:val="24"/>
        </w:rPr>
        <w:t>Allow PG&amp;E to use more judgment in making targeting decisions, and less reliance on explicit formula.</w:t>
      </w:r>
    </w:p>
    <w:p>
      <w:pPr>
        <w:pStyle w:val="Normal"/>
        <w:numPr>
          <w:ilvl w:val="0"/>
          <w:numId w:val="2"/>
        </w:numPr>
        <w:tabs>
          <w:tab w:val="left" w:pos="720" w:leader="none"/>
        </w:tabs>
        <w:ind w:hanging="360" w:start="1080" w:end="0"/>
        <w:rPr>
          <w:sz w:val="24"/>
        </w:rPr>
      </w:pPr>
      <w:r>
        <w:rPr>
          <w:sz w:val="24"/>
        </w:rPr>
        <w:t>Evaluate imbalance of customer class group, and if class is expected to be in balance, then do not target balancing entities in that class.</w:t>
      </w:r>
    </w:p>
    <w:sectPr>
      <w:headerReference w:type="default" r:id="rId2"/>
      <w:headerReference w:type="first" r:id="rId3"/>
      <w:footerReference w:type="default" r:id="rId4"/>
      <w:footerReference w:type="first" r:id="rId5"/>
      <w:type w:val="nextPage"/>
      <w:pgSz w:w="12240" w:h="15840"/>
      <w:pgMar w:left="1440" w:right="1440" w:gutter="0" w:header="576"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BernhardMod BT">
    <w:charset w:val="00" w:characterSet="windows-1252"/>
    <w:family w:val="roman"/>
    <w:pitch w:val="variable"/>
  </w:font>
  <w:font w:name="Bookman Old Style">
    <w:charset w:val="00" w:characterSet="windows-1252"/>
    <w:family w:val="roman"/>
    <w:pitch w:val="variable"/>
  </w:font>
  <w:font w:name="GeoSlab703 Lt BT">
    <w:altName w:val="Minion Web"/>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w:t>
    </w:r>
  </w:p>
  <w:p>
    <w:pPr>
      <w:pStyle w:val="Normal"/>
      <w:rPr>
        <w:rFonts w:ascii="BernhardMod BT" w:hAnsi="BernhardMod BT" w:cs="BernhardMod BT"/>
        <w:b/>
        <w:i/>
        <w:i/>
        <w:sz w:val="26"/>
      </w:rPr>
    </w:pPr>
    <w:r>
      <w:rPr>
        <w:rFonts w:cs="BernhardMod BT" w:ascii="BernhardMod BT" w:hAnsi="BernhardMod BT"/>
        <w:b/>
        <w:i/>
        <w:sz w:val="26"/>
      </w:rPr>
      <w:t>Promising Gas Options – I.99-07-003</w:t>
    </w:r>
  </w:p>
  <w:p>
    <w:pPr>
      <w:pStyle w:val="Normal"/>
      <w:rPr>
        <w:rFonts w:ascii="Bookman Old Style" w:hAnsi="Bookman Old Style" w:cs="Bookman Old Style"/>
        <w:b/>
        <w:i/>
        <w:i/>
        <w:sz w:val="26"/>
      </w:rPr>
    </w:pPr>
    <w:r>
      <w:rPr>
        <w:rFonts w:cs="Bookman Old Style" w:ascii="Bookman Old Style" w:hAnsi="Bookman Old Style"/>
        <w:b/>
        <w:i/>
        <w:sz w:val="26"/>
      </w:rPr>
      <w:fldChar w:fldCharType="begin"/>
    </w:r>
    <w:r>
      <w:rPr>
        <w:sz w:val="26"/>
        <w:i/>
        <w:b/>
        <w:rFonts w:cs="Bookman Old Style" w:ascii="Bookman Old Style" w:hAnsi="Bookman Old Style"/>
      </w:rPr>
      <w:instrText xml:space="preserve"> REF DocTitle \h </w:instrText>
    </w:r>
    <w:r>
      <w:rPr>
        <w:sz w:val="26"/>
        <w:i/>
        <w:b/>
        <w:rFonts w:cs="Bookman Old Style" w:ascii="Bookman Old Style" w:hAnsi="Bookman Old Style"/>
      </w:rPr>
      <w:fldChar w:fldCharType="separate"/>
    </w:r>
    <w:r>
      <w:rPr>
        <w:sz w:val="26"/>
        <w:i/>
        <w:b/>
        <w:rFonts w:cs="Bookman Old Style" w:ascii="Bookman Old Style" w:hAnsi="Bookman Old Style"/>
      </w:rPr>
      <w:t>Notes from August 29 OFO Forum</w:t>
    </w:r>
    <w:r>
      <w:rPr>
        <w:sz w:val="26"/>
        <w:i/>
        <w:b/>
        <w:rFonts w:cs="Bookman Old Style" w:ascii="Bookman Old Style" w:hAnsi="Bookman Old Style"/>
      </w:rPr>
      <w:fldChar w:fldCharType="end"/>
    </w:r>
  </w:p>
  <w:p>
    <w:pPr>
      <w:pStyle w:val="Normal"/>
      <w:rPr>
        <w:rFonts w:ascii="Bookman Old Style" w:hAnsi="Bookman Old Style" w:cs="Bookman Old Style"/>
        <w:b/>
        <w:sz w:val="24"/>
      </w:rPr>
    </w:pPr>
    <w:r>
      <w:rPr>
        <w:rFonts w:cs="Bookman Old Style" w:ascii="Bookman Old Style" w:hAnsi="Bookman Old Style"/>
        <w:b/>
        <w:sz w:val="24"/>
      </w:rPr>
      <w:fldChar w:fldCharType="begin"/>
    </w:r>
    <w:r>
      <w:rPr>
        <w:sz w:val="24"/>
        <w:b/>
        <w:rFonts w:cs="Bookman Old Style" w:ascii="Bookman Old Style" w:hAnsi="Bookman Old Style"/>
      </w:rPr>
      <w:instrText xml:space="preserve"> REF DocDate \h </w:instrText>
    </w:r>
    <w:r>
      <w:rPr>
        <w:sz w:val="24"/>
        <w:b/>
        <w:rFonts w:cs="Bookman Old Style" w:ascii="Bookman Old Style" w:hAnsi="Bookman Old Style"/>
      </w:rPr>
      <w:fldChar w:fldCharType="separate"/>
    </w:r>
    <w:r>
      <w:rPr>
        <w:sz w:val="24"/>
        <w:b/>
        <w:rFonts w:cs="Bookman Old Style" w:ascii="Bookman Old Style" w:hAnsi="Bookman Old Style"/>
      </w:rPr>
      <w:t>September 11, 2000</w:t>
    </w:r>
    <w:r>
      <w:rPr>
        <w:sz w:val="24"/>
        <w:b/>
        <w:rFonts w:cs="Bookman Old Style" w:ascii="Bookman Old Style" w:hAnsi="Bookman Old Style"/>
      </w:rPr>
      <w:fldChar w:fldCharType="end"/>
    </w:r>
  </w:p>
  <w:p>
    <w:pPr>
      <w:pStyle w:val="Normal"/>
      <w:rPr>
        <w:rFonts w:ascii="Bookman Old Style" w:hAnsi="Bookman Old Style" w:cs="Bookman Old Style"/>
        <w:b/>
        <w:sz w:val="24"/>
      </w:rPr>
    </w:pPr>
    <w:r>
      <w:rPr>
        <w:rFonts w:cs="Bookman Old Style" w:ascii="Bookman Old Style" w:hAnsi="Bookman Old Style"/>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360" w:hanging="36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2">
    <w:name w:val="WW8Num6z2"/>
    <w:qFormat/>
    <w:rPr>
      <w:sz w:val="22"/>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4"/>
    </w:rPr>
  </w:style>
  <w:style w:type="paragraph" w:styleId="Bullet1-Memo">
    <w:name w:val="Bullet 1 - Memo"/>
    <w:basedOn w:val="Normal"/>
    <w:qFormat/>
    <w:pPr>
      <w:ind w:hanging="432" w:start="432" w:end="0"/>
    </w:pPr>
    <w:rPr/>
  </w:style>
  <w:style w:type="paragraph" w:styleId="Bullet2-Memo">
    <w:name w:val="Bullet 2 - Memo"/>
    <w:basedOn w:val="Normal"/>
    <w:qFormat/>
    <w:pPr>
      <w:ind w:hanging="432" w:start="864" w:end="432"/>
    </w:pPr>
    <w:rPr/>
  </w:style>
  <w:style w:type="paragraph" w:styleId="Bullet3-Memo">
    <w:name w:val="Bullet 3 - Memo"/>
    <w:basedOn w:val="Normal"/>
    <w:qFormat/>
    <w:pPr>
      <w:ind w:hanging="432" w:start="1296" w:end="432"/>
    </w:pPr>
    <w:rPr/>
  </w:style>
  <w:style w:type="paragraph" w:styleId="Indent1-Memo">
    <w:name w:val="Indent 1 - Memo"/>
    <w:basedOn w:val="Bullet1-Memo"/>
    <w:qFormat/>
    <w:pPr>
      <w:ind w:hanging="0" w:start="432" w:end="0"/>
    </w:pPr>
    <w:rPr/>
  </w:style>
  <w:style w:type="paragraph" w:styleId="Indent3-Memo">
    <w:name w:val="Indent 3 - Memo"/>
    <w:basedOn w:val="Bullet3-Memo"/>
    <w:qFormat/>
    <w:pPr/>
    <w:rPr/>
  </w:style>
  <w:style w:type="paragraph" w:styleId="Indent2-Memo">
    <w:name w:val="Indent 2 - Memo"/>
    <w:basedOn w:val="Bullet2-Memo"/>
    <w:qFormat/>
    <w:pPr>
      <w:ind w:hanging="0" w:start="864" w:end="432"/>
    </w:pPr>
    <w:rPr/>
  </w:style>
  <w:style w:type="paragraph" w:styleId="Indent0">
    <w:name w:val="Indent 0"/>
    <w:basedOn w:val="Normal"/>
    <w:qFormat/>
    <w:pPr/>
    <w:rPr>
      <w:rFonts w:ascii="Helvetica" w:hAnsi="Helvetica" w:cs="Helvetica"/>
    </w:rPr>
  </w:style>
  <w:style w:type="paragraph" w:styleId="EnvelopeAddress">
    <w:name w:val="envelope address"/>
    <w:basedOn w:val="Normal"/>
    <w:pPr>
      <w:ind w:hanging="0" w:start="2880" w:end="0"/>
    </w:pPr>
    <w:rPr>
      <w:rFonts w:ascii="BernhardMod BT" w:hAnsi="BernhardMod BT" w:cs="BernhardMod BT"/>
      <w:b/>
      <w:sz w:val="32"/>
    </w:rPr>
  </w:style>
  <w:style w:type="paragraph" w:styleId="EnvelopeReturn">
    <w:name w:val="envelope return"/>
    <w:basedOn w:val="Normal"/>
    <w:pPr/>
    <w:rPr>
      <w:rFonts w:ascii="BernhardMod BT" w:hAnsi="BernhardMod BT" w:cs="BernhardMod BT"/>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ullet1">
    <w:name w:val="Bullet 1"/>
    <w:basedOn w:val="Normal"/>
    <w:qFormat/>
    <w:pPr>
      <w:ind w:hanging="432" w:start="432"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2000-09-05T15:15:00Z</dcterms:created>
  <dc:creator>Geoff Bellenger</dc:creator>
  <dc:description/>
  <dc:language>en-CA</dc:language>
  <cp:lastModifiedBy>Geoffrey Bellenger</cp:lastModifiedBy>
  <cp:lastPrinted>2000-09-07T17:36:00Z</cp:lastPrinted>
  <dcterms:modified xsi:type="dcterms:W3CDTF">2000-09-12T11:42:00Z</dcterms:modified>
  <cp:revision>24</cp:revision>
  <dc:subject/>
  <dc:title> </dc:title>
</cp:coreProperties>
</file>