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tbl>
      <w:tblPr>
        <w:tblW w:w="10008" w:type="dxa"/>
        <w:jc w:val="start"/>
        <w:tblInd w:w="0" w:type="dxa"/>
        <w:tblLayout w:type="fixed"/>
        <w:tblCellMar>
          <w:top w:w="0" w:type="dxa"/>
          <w:start w:w="108" w:type="dxa"/>
          <w:bottom w:w="0" w:type="dxa"/>
          <w:end w:w="108" w:type="dxa"/>
        </w:tblCellMar>
      </w:tblPr>
      <w:tblGrid>
        <w:gridCol w:w="1771"/>
        <w:gridCol w:w="1771"/>
        <w:gridCol w:w="6466"/>
      </w:tblGrid>
      <w:tr>
        <w:trPr/>
        <w:tc>
          <w:tcPr>
            <w:tcW w:w="10008" w:type="dxa"/>
            <w:gridSpan w:val="3"/>
            <w:tcBorders>
              <w:top w:val="single" w:sz="4" w:space="0" w:color="000000"/>
              <w:start w:val="single" w:sz="4" w:space="0" w:color="000000"/>
              <w:end w:val="single" w:sz="4" w:space="0" w:color="000000"/>
            </w:tcBorders>
            <w:shd w:fill="D8D8D8" w:val="clear"/>
          </w:tcPr>
          <w:p>
            <w:pPr>
              <w:pStyle w:val="Standard1"/>
              <w:spacing w:before="60" w:after="60"/>
              <w:jc w:val="center"/>
              <w:rPr>
                <w:sz w:val="36"/>
              </w:rPr>
            </w:pPr>
            <w:r>
              <w:rPr>
                <w:sz w:val="36"/>
              </w:rPr>
              <w:t>Meeting Notes</w:t>
            </w:r>
          </w:p>
        </w:tc>
      </w:tr>
      <w:tr>
        <w:trPr/>
        <w:tc>
          <w:tcPr>
            <w:tcW w:w="10008" w:type="dxa"/>
            <w:gridSpan w:val="3"/>
            <w:tcBorders>
              <w:top w:val="double" w:sz="4" w:space="0" w:color="000000"/>
              <w:start w:val="single" w:sz="4" w:space="0" w:color="000000"/>
              <w:bottom w:val="single" w:sz="4" w:space="0" w:color="000000"/>
              <w:end w:val="single" w:sz="4" w:space="0" w:color="000000"/>
            </w:tcBorders>
          </w:tcPr>
          <w:p>
            <w:pPr>
              <w:pStyle w:val="Standard1"/>
              <w:widowControl/>
              <w:bidi w:val="0"/>
              <w:spacing w:before="60" w:after="60"/>
              <w:rPr/>
            </w:pPr>
            <w:r>
              <w:rPr>
                <w:b/>
                <w:sz w:val="24"/>
              </w:rPr>
              <w:t xml:space="preserve">Purpose:  </w:t>
            </w:r>
            <w:r>
              <w:rPr>
                <w:sz w:val="24"/>
              </w:rPr>
              <w:t>Summarize findings from the EnLighten trade warehouse focus groups.  Present implementation options and receive group recommendations.</w:t>
            </w:r>
          </w:p>
        </w:tc>
      </w:tr>
      <w:tr>
        <w:trPr/>
        <w:tc>
          <w:tcPr>
            <w:tcW w:w="1771"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Date:</w:t>
            </w:r>
          </w:p>
          <w:p>
            <w:pPr>
              <w:pStyle w:val="Normal"/>
              <w:rPr>
                <w:sz w:val="24"/>
              </w:rPr>
            </w:pPr>
            <w:r>
              <w:rPr>
                <w:sz w:val="24"/>
              </w:rPr>
              <w:t>8/28/00</w:t>
            </w:r>
          </w:p>
        </w:tc>
        <w:tc>
          <w:tcPr>
            <w:tcW w:w="1771"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Time:</w:t>
            </w:r>
          </w:p>
          <w:p>
            <w:pPr>
              <w:pStyle w:val="Normal"/>
              <w:rPr>
                <w:sz w:val="24"/>
              </w:rPr>
            </w:pPr>
            <w:r>
              <w:rPr>
                <w:sz w:val="24"/>
              </w:rPr>
              <w:t>10:30 – 11:30</w:t>
            </w:r>
          </w:p>
        </w:tc>
        <w:tc>
          <w:tcPr>
            <w:tcW w:w="6466"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Location:</w:t>
            </w:r>
          </w:p>
          <w:p>
            <w:pPr>
              <w:pStyle w:val="Heading3"/>
              <w:ind w:hanging="0" w:start="0"/>
              <w:rPr/>
            </w:pPr>
            <w:r>
              <w:rPr/>
              <w:t>EB30C1</w:t>
            </w:r>
          </w:p>
        </w:tc>
      </w:tr>
      <w:tr>
        <w:trPr/>
        <w:tc>
          <w:tcPr>
            <w:tcW w:w="10008" w:type="dxa"/>
            <w:gridSpan w:val="3"/>
            <w:tcBorders>
              <w:top w:val="single" w:sz="4" w:space="0" w:color="000000"/>
              <w:start w:val="single" w:sz="4" w:space="0" w:color="000000"/>
              <w:bottom w:val="double" w:sz="4" w:space="0" w:color="000000"/>
              <w:end w:val="single" w:sz="4" w:space="0" w:color="000000"/>
            </w:tcBorders>
          </w:tcPr>
          <w:p>
            <w:pPr>
              <w:pStyle w:val="Normal"/>
              <w:rPr>
                <w:b/>
                <w:sz w:val="24"/>
              </w:rPr>
            </w:pPr>
            <w:r>
              <w:rPr>
                <w:b/>
                <w:sz w:val="24"/>
              </w:rPr>
              <w:t>Attendees:</w:t>
            </w:r>
          </w:p>
          <w:p>
            <w:pPr>
              <w:pStyle w:val="Normal"/>
              <w:rPr>
                <w:sz w:val="24"/>
              </w:rPr>
            </w:pPr>
            <w:r>
              <w:rPr>
                <w:sz w:val="24"/>
              </w:rPr>
              <w:t>Sally Beck, Mary Solmonson, Sheri Thomas, Bob Hall, Vanessa Schulte, Michael Moscoso, Eugenio Perez, James Scribner, Leslie Reeves, Joel Henenberg, Michelle Bruce</w:t>
            </w:r>
          </w:p>
          <w:p>
            <w:pPr>
              <w:pStyle w:val="Heading3"/>
              <w:ind w:hanging="0" w:start="0"/>
              <w:rPr/>
            </w:pPr>
            <w:r>
              <w:rPr/>
              <w:t>ETW team:  Scott Williamson, Cindy Wisemiller, Frank Zendejas, Jessie Jewell</w:t>
            </w:r>
          </w:p>
        </w:tc>
      </w:tr>
      <w:tr>
        <w:trPr/>
        <w:tc>
          <w:tcPr>
            <w:tcW w:w="10008" w:type="dxa"/>
            <w:gridSpan w:val="3"/>
            <w:tcBorders>
              <w:start w:val="single" w:sz="4" w:space="0" w:color="000000"/>
              <w:end w:val="single" w:sz="4" w:space="0" w:color="000000"/>
            </w:tcBorders>
            <w:shd w:fill="D8D8D8" w:val="clear"/>
          </w:tcPr>
          <w:p>
            <w:pPr>
              <w:pStyle w:val="Heading2"/>
              <w:ind w:hanging="0" w:start="0"/>
              <w:rPr/>
            </w:pPr>
            <w:r>
              <w:rPr/>
              <w:t>Notes</w:t>
            </w:r>
          </w:p>
        </w:tc>
      </w:tr>
      <w:tr>
        <w:trPr/>
        <w:tc>
          <w:tcPr>
            <w:tcW w:w="10008" w:type="dxa"/>
            <w:gridSpan w:val="3"/>
            <w:tcBorders>
              <w:top w:val="double" w:sz="4" w:space="0" w:color="000000"/>
              <w:start w:val="single" w:sz="4" w:space="0" w:color="000000"/>
              <w:bottom w:val="double" w:sz="4" w:space="0" w:color="000000"/>
              <w:end w:val="single" w:sz="4" w:space="0" w:color="000000"/>
            </w:tcBorders>
          </w:tcPr>
          <w:p>
            <w:pPr>
              <w:pStyle w:val="Normal"/>
              <w:rPr>
                <w:sz w:val="24"/>
              </w:rPr>
            </w:pPr>
            <w:r>
              <w:rPr>
                <w:sz w:val="24"/>
              </w:rPr>
              <w:t xml:space="preserve">Focus group results were presented.  Issues and Concerns were reviewed.  It was requested that IT management commitment to the project and their commitment of IT resources be added to Issues and Concerns. </w:t>
            </w:r>
          </w:p>
          <w:p>
            <w:pPr>
              <w:pStyle w:val="Normal"/>
              <w:rPr>
                <w:sz w:val="24"/>
              </w:rPr>
            </w:pPr>
            <w:r>
              <w:rPr>
                <w:sz w:val="24"/>
              </w:rPr>
            </w:r>
          </w:p>
          <w:p>
            <w:pPr>
              <w:pStyle w:val="Normal"/>
              <w:rPr>
                <w:sz w:val="24"/>
              </w:rPr>
            </w:pPr>
            <w:r>
              <w:rPr>
                <w:sz w:val="24"/>
              </w:rPr>
              <w:t xml:space="preserve">The importance of the EnLighten Trade Warehouse group obtaining buy-in from the Commercial groups was discussed. </w:t>
            </w:r>
          </w:p>
          <w:p>
            <w:pPr>
              <w:pStyle w:val="Normal"/>
              <w:rPr>
                <w:sz w:val="24"/>
              </w:rPr>
            </w:pPr>
            <w:r>
              <w:rPr>
                <w:sz w:val="24"/>
              </w:rPr>
            </w:r>
          </w:p>
          <w:p>
            <w:pPr>
              <w:pStyle w:val="Normal"/>
              <w:rPr>
                <w:sz w:val="24"/>
              </w:rPr>
            </w:pPr>
            <w:r>
              <w:rPr>
                <w:sz w:val="24"/>
              </w:rPr>
              <w:t>The group talked about the origin of the need for a Trade Warehouse.  The legacy systems in use today were designed for a specific operation like deal capture or settlement.  There is now an increased need for reporting and retrieving the necessary information from these systems is currently difficult or impossible.  Specifically, storage and transport information is lacking to fulfill the request of Investor Relations.</w:t>
            </w:r>
          </w:p>
          <w:p>
            <w:pPr>
              <w:pStyle w:val="Normal"/>
              <w:rPr>
                <w:sz w:val="24"/>
              </w:rPr>
            </w:pPr>
            <w:r>
              <w:rPr>
                <w:sz w:val="24"/>
              </w:rPr>
            </w:r>
          </w:p>
          <w:p>
            <w:pPr>
              <w:pStyle w:val="Normal"/>
              <w:rPr>
                <w:sz w:val="24"/>
              </w:rPr>
            </w:pPr>
            <w:r>
              <w:rPr>
                <w:sz w:val="24"/>
              </w:rPr>
              <w:t>In regards to data requirements, it was noted that the data necessary for EOL reporting is probably 80% the same as the data requirements for EnTelligence.</w:t>
            </w:r>
          </w:p>
          <w:p>
            <w:pPr>
              <w:pStyle w:val="Standard1"/>
              <w:spacing w:before="0" w:after="0"/>
              <w:rPr>
                <w:sz w:val="24"/>
                <w:lang w:val="en-US"/>
              </w:rPr>
            </w:pPr>
            <w:r>
              <w:rPr>
                <w:sz w:val="24"/>
                <w:lang w:val="en-US"/>
              </w:rPr>
            </w:r>
          </w:p>
          <w:p>
            <w:pPr>
              <w:pStyle w:val="Standard1"/>
              <w:spacing w:before="0" w:after="0"/>
              <w:rPr>
                <w:sz w:val="24"/>
                <w:lang w:val="en-US"/>
              </w:rPr>
            </w:pPr>
            <w:r>
              <w:rPr>
                <w:sz w:val="24"/>
                <w:lang w:val="en-US"/>
              </w:rPr>
              <w:t>The OPM group volunteered to be the first group to work with the EnLighten Trade Warehouse team.</w:t>
            </w:r>
          </w:p>
          <w:p>
            <w:pPr>
              <w:pStyle w:val="Standard1"/>
              <w:spacing w:before="0" w:after="0"/>
              <w:rPr>
                <w:sz w:val="24"/>
                <w:lang w:val="en-US"/>
              </w:rPr>
            </w:pPr>
            <w:r>
              <w:rPr>
                <w:sz w:val="24"/>
                <w:lang w:val="en-US"/>
              </w:rPr>
            </w:r>
          </w:p>
          <w:p>
            <w:pPr>
              <w:pStyle w:val="Standard1"/>
              <w:spacing w:before="0" w:after="0"/>
              <w:rPr>
                <w:sz w:val="24"/>
                <w:lang w:val="en-US"/>
              </w:rPr>
            </w:pPr>
            <w:r>
              <w:rPr>
                <w:sz w:val="24"/>
                <w:lang w:val="en-US"/>
              </w:rPr>
              <w:t>The recommendations from Commercial support were:</w:t>
            </w:r>
          </w:p>
          <w:p>
            <w:pPr>
              <w:pStyle w:val="Standard1"/>
              <w:numPr>
                <w:ilvl w:val="0"/>
                <w:numId w:val="2"/>
              </w:numPr>
              <w:spacing w:before="0" w:after="0"/>
              <w:rPr>
                <w:sz w:val="24"/>
                <w:lang w:val="en-US"/>
              </w:rPr>
            </w:pPr>
            <w:r>
              <w:rPr>
                <w:sz w:val="24"/>
                <w:lang w:val="en-US"/>
              </w:rPr>
              <w:t>The implementation should contain data for all commodities.</w:t>
            </w:r>
          </w:p>
          <w:p>
            <w:pPr>
              <w:pStyle w:val="Standard1"/>
              <w:numPr>
                <w:ilvl w:val="0"/>
                <w:numId w:val="2"/>
              </w:numPr>
              <w:spacing w:before="0" w:after="0"/>
              <w:rPr>
                <w:sz w:val="24"/>
                <w:lang w:val="en-US"/>
              </w:rPr>
            </w:pPr>
            <w:r>
              <w:rPr>
                <w:sz w:val="24"/>
                <w:lang w:val="en-US"/>
              </w:rPr>
              <w:t>The project should not take a long time.</w:t>
            </w:r>
          </w:p>
          <w:p>
            <w:pPr>
              <w:pStyle w:val="Standard1"/>
              <w:numPr>
                <w:ilvl w:val="0"/>
                <w:numId w:val="2"/>
              </w:numPr>
              <w:spacing w:before="0" w:after="0"/>
              <w:rPr>
                <w:lang w:val="en-US"/>
              </w:rPr>
            </w:pPr>
            <w:r>
              <w:rPr>
                <w:sz w:val="24"/>
                <w:lang w:val="en-US"/>
              </w:rPr>
              <w:t>The current legacy systems should be used for loading the warehouse despite plans to replace them in the near future.</w:t>
            </w:r>
          </w:p>
        </w:tc>
      </w:tr>
      <w:tr>
        <w:trPr/>
        <w:tc>
          <w:tcPr>
            <w:tcW w:w="10008" w:type="dxa"/>
            <w:gridSpan w:val="3"/>
            <w:tcBorders>
              <w:top w:val="double" w:sz="4" w:space="0" w:color="000000"/>
              <w:start w:val="single" w:sz="4" w:space="0" w:color="000000"/>
              <w:end w:val="single" w:sz="4" w:space="0" w:color="000000"/>
            </w:tcBorders>
            <w:shd w:fill="D8D8D8" w:val="clear"/>
          </w:tcPr>
          <w:p>
            <w:pPr>
              <w:pStyle w:val="Standard1"/>
              <w:spacing w:before="60" w:after="60"/>
              <w:rPr>
                <w:b/>
                <w:sz w:val="24"/>
              </w:rPr>
            </w:pPr>
            <w:r>
              <w:rPr>
                <w:b/>
                <w:sz w:val="24"/>
              </w:rPr>
              <w:t>Next Steps</w:t>
            </w:r>
          </w:p>
        </w:tc>
      </w:tr>
      <w:tr>
        <w:trPr/>
        <w:tc>
          <w:tcPr>
            <w:tcW w:w="10008" w:type="dxa"/>
            <w:gridSpan w:val="3"/>
            <w:tcBorders>
              <w:top w:val="double" w:sz="4" w:space="0" w:color="000000"/>
              <w:start w:val="single" w:sz="4" w:space="0" w:color="000000"/>
              <w:bottom w:val="single" w:sz="4" w:space="0" w:color="000000"/>
              <w:end w:val="single" w:sz="4" w:space="0" w:color="000000"/>
            </w:tcBorders>
          </w:tcPr>
          <w:p>
            <w:pPr>
              <w:pStyle w:val="Normal"/>
              <w:rPr>
                <w:sz w:val="24"/>
              </w:rPr>
            </w:pPr>
            <w:r>
              <w:rPr>
                <w:sz w:val="24"/>
              </w:rPr>
              <w:t>EnLighten Trade Warehouse team will meet with the business groups to prepare a data items matrix containing the initial data requirements.  A meeting is targeted for September 22 to present the group with findings from the data requirements gathering as well as present a proposed implementation plan with timeframes and associated risks.</w:t>
            </w:r>
          </w:p>
        </w:tc>
      </w:tr>
    </w:tbl>
    <w:p>
      <w:pPr>
        <w:pStyle w:val="Standard1"/>
        <w:spacing w:before="0" w:after="0"/>
        <w:rPr>
          <w:lang w:val="en-US"/>
        </w:rPr>
      </w:pPr>
      <w:r>
        <w:rPr>
          <w:lang w:val="en-US"/>
        </w:rPr>
      </w:r>
    </w:p>
    <w:p>
      <w:pPr>
        <w:pStyle w:val="Standard1"/>
        <w:spacing w:before="0" w:after="0"/>
        <w:rPr>
          <w:lang w:val="en-US"/>
        </w:rPr>
      </w:pPr>
      <w:r>
        <w:rPr>
          <w:lang w:val="en-US"/>
        </w:rPr>
      </w:r>
    </w:p>
    <w:sectPr>
      <w:type w:val="nextPage"/>
      <w:pgSz w:w="12240" w:h="15840"/>
      <w:pgMar w:left="1440" w:right="72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20"/>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outlineLvl w:val="2"/>
    </w:pPr>
    <w:rPr>
      <w:sz w:val="24"/>
    </w:rPr>
  </w:style>
  <w:style w:type="paragraph" w:styleId="Heading4">
    <w:name w:val="heading 4"/>
    <w:basedOn w:val="Normal"/>
    <w:next w:val="Normal"/>
    <w:qFormat/>
    <w:pPr>
      <w:keepNext w:val="true"/>
      <w:numPr>
        <w:ilvl w:val="3"/>
        <w:numId w:val="1"/>
      </w:numPr>
      <w:outlineLvl w:val="3"/>
    </w:pPr>
    <w:rPr>
      <w:b/>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sz w:val="20"/>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andard1">
    <w:name w:val="Standard1"/>
    <w:qFormat/>
    <w:pPr>
      <w:widowControl/>
      <w:bidi w:val="0"/>
      <w:spacing w:before="60" w:after="60"/>
    </w:pPr>
    <w:rPr>
      <w:rFonts w:ascii="Times New Roman" w:hAnsi="Times New Roman" w:eastAsia="Times New Roman" w:cs="Times New Roman"/>
      <w:color w:val="auto"/>
      <w:sz w:val="20"/>
      <w:szCs w:val="20"/>
      <w:lang w:val="en-CA"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Meeting Notes.dot</Template>
  <TotalTime>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2000-08-30T10:22:00Z</dcterms:created>
  <dc:creator>fzendeja</dc:creator>
  <dc:description/>
  <dc:language>en-CA</dc:language>
  <cp:lastModifiedBy>jjewell</cp:lastModifiedBy>
  <cp:lastPrinted>2000-08-31T18:07:00Z</cp:lastPrinted>
  <dcterms:modified xsi:type="dcterms:W3CDTF">2000-08-31T20:38:00Z</dcterms:modified>
  <cp:revision>20</cp:revision>
  <dc:subject/>
  <dc:title>Meeting Notes</dc:title>
</cp:coreProperties>
</file>