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185" w:type="dxa"/>
        <w:jc w:val="start"/>
        <w:tblInd w:w="0" w:type="dxa"/>
        <w:tblLayout w:type="fixed"/>
        <w:tblCellMar>
          <w:top w:w="0" w:type="dxa"/>
          <w:start w:w="108" w:type="dxa"/>
          <w:bottom w:w="0" w:type="dxa"/>
          <w:end w:w="108" w:type="dxa"/>
        </w:tblCellMar>
      </w:tblPr>
      <w:tblGrid>
        <w:gridCol w:w="1247"/>
        <w:gridCol w:w="4248"/>
        <w:gridCol w:w="850"/>
        <w:gridCol w:w="2840"/>
      </w:tblGrid>
      <w:tr>
        <w:trPr>
          <w:trHeight w:val="709" w:hRule="atLeast"/>
        </w:trPr>
        <w:tc>
          <w:tcPr>
            <w:tcW w:w="1247" w:type="dxa"/>
            <w:tcBorders/>
          </w:tcPr>
          <w:p>
            <w:pPr>
              <w:pStyle w:val="Normal"/>
              <w:jc w:val="both"/>
              <w:rPr>
                <w:sz w:val="24"/>
                <w:lang w:val="en-CA"/>
              </w:rPr>
            </w:pPr>
            <w:r>
              <w:rPr>
                <w:sz w:val="24"/>
                <w:lang w:val="en-CA"/>
              </w:rPr>
              <w:t>To:</w:t>
            </w:r>
          </w:p>
        </w:tc>
        <w:tc>
          <w:tcPr>
            <w:tcW w:w="4248" w:type="dxa"/>
            <w:tcBorders/>
          </w:tcPr>
          <w:p>
            <w:pPr>
              <w:pStyle w:val="Heading1"/>
              <w:ind w:hanging="0" w:start="0"/>
              <w:rPr>
                <w:lang w:val="en-CA" w:eastAsia="en-CA"/>
              </w:rPr>
            </w:pPr>
            <w:bookmarkStart w:id="0" w:name="to"/>
            <w:bookmarkEnd w:id="0"/>
            <w:r>
              <w:rPr>
                <w:lang w:val="en-CA" w:eastAsia="en-CA"/>
              </w:rPr>
              <w:t>Jan van Aken</w:t>
            </w:r>
          </w:p>
          <w:p>
            <w:pPr>
              <w:pStyle w:val="Heading4"/>
              <w:ind w:hanging="0" w:start="0"/>
              <w:rPr>
                <w:lang w:val="en-CA"/>
              </w:rPr>
            </w:pPr>
            <w:r>
              <w:rPr>
                <w:lang w:val="en-CA"/>
              </w:rPr>
              <w:t>European Federation of Energy Traders</w:t>
            </w:r>
          </w:p>
        </w:tc>
        <w:tc>
          <w:tcPr>
            <w:tcW w:w="850" w:type="dxa"/>
            <w:tcBorders/>
          </w:tcPr>
          <w:p>
            <w:pPr>
              <w:pStyle w:val="Normal"/>
              <w:jc w:val="both"/>
              <w:rPr>
                <w:sz w:val="24"/>
                <w:lang w:val="en-CA"/>
              </w:rPr>
            </w:pPr>
            <w:r>
              <w:rPr>
                <w:sz w:val="24"/>
                <w:lang w:val="en-CA"/>
              </w:rPr>
              <w:t>From:</w:t>
            </w:r>
          </w:p>
        </w:tc>
        <w:tc>
          <w:tcPr>
            <w:tcW w:w="2840" w:type="dxa"/>
            <w:tcBorders/>
          </w:tcPr>
          <w:p>
            <w:pPr>
              <w:pStyle w:val="Normal"/>
              <w:jc w:val="both"/>
              <w:rPr>
                <w:sz w:val="24"/>
                <w:lang w:val="en-CA"/>
              </w:rPr>
            </w:pPr>
            <w:bookmarkStart w:id="1" w:name="from"/>
            <w:bookmarkEnd w:id="1"/>
            <w:r>
              <w:rPr>
                <w:sz w:val="24"/>
                <w:lang w:val="en-CA"/>
              </w:rPr>
              <w:t>Martin Rosell</w:t>
            </w:r>
          </w:p>
          <w:p>
            <w:pPr>
              <w:pStyle w:val="Normal"/>
              <w:jc w:val="both"/>
              <w:rPr>
                <w:sz w:val="24"/>
                <w:lang w:val="en-CA"/>
              </w:rPr>
            </w:pPr>
            <w:r>
              <w:rPr>
                <w:sz w:val="24"/>
                <w:lang w:val="en-CA"/>
              </w:rPr>
              <w:t>Enron Nordic Energy</w:t>
            </w:r>
          </w:p>
        </w:tc>
      </w:tr>
      <w:tr>
        <w:trPr>
          <w:trHeight w:val="436" w:hRule="atLeast"/>
        </w:trPr>
        <w:tc>
          <w:tcPr>
            <w:tcW w:w="1247" w:type="dxa"/>
            <w:tcBorders/>
          </w:tcPr>
          <w:p>
            <w:pPr>
              <w:pStyle w:val="Normal"/>
              <w:snapToGrid w:val="false"/>
              <w:jc w:val="both"/>
              <w:rPr>
                <w:sz w:val="24"/>
                <w:lang w:val="en-CA"/>
              </w:rPr>
            </w:pPr>
            <w:r>
              <w:rPr>
                <w:sz w:val="24"/>
                <w:lang w:val="en-CA"/>
              </w:rPr>
            </w:r>
          </w:p>
        </w:tc>
        <w:tc>
          <w:tcPr>
            <w:tcW w:w="4248" w:type="dxa"/>
            <w:tcBorders/>
          </w:tcPr>
          <w:p>
            <w:pPr>
              <w:pStyle w:val="Normal"/>
              <w:snapToGrid w:val="false"/>
              <w:jc w:val="both"/>
              <w:rPr>
                <w:sz w:val="24"/>
                <w:lang w:val="en-CA"/>
              </w:rPr>
            </w:pPr>
            <w:r>
              <w:rPr>
                <w:sz w:val="24"/>
                <w:lang w:val="en-CA"/>
              </w:rPr>
            </w:r>
          </w:p>
        </w:tc>
        <w:tc>
          <w:tcPr>
            <w:tcW w:w="850" w:type="dxa"/>
            <w:tcBorders/>
          </w:tcPr>
          <w:p>
            <w:pPr>
              <w:pStyle w:val="Normal"/>
              <w:jc w:val="both"/>
              <w:rPr>
                <w:sz w:val="24"/>
                <w:lang w:val="en-CA"/>
              </w:rPr>
            </w:pPr>
            <w:r>
              <w:rPr>
                <w:sz w:val="24"/>
                <w:lang w:val="en-CA"/>
              </w:rPr>
              <w:t>Date:</w:t>
            </w:r>
          </w:p>
        </w:tc>
        <w:tc>
          <w:tcPr>
            <w:tcW w:w="2840" w:type="dxa"/>
            <w:tcBorders/>
          </w:tcPr>
          <w:p>
            <w:pPr>
              <w:pStyle w:val="Normal"/>
              <w:jc w:val="both"/>
              <w:rPr>
                <w:sz w:val="24"/>
                <w:lang w:val="en-CA"/>
              </w:rPr>
            </w:pPr>
            <w:bookmarkStart w:id="2" w:name="Dater"/>
            <w:bookmarkStart w:id="3" w:name="Inext"/>
            <w:bookmarkEnd w:id="2"/>
            <w:bookmarkEnd w:id="3"/>
            <w:r>
              <w:rPr>
                <w:sz w:val="24"/>
                <w:lang w:val="en-CA"/>
              </w:rPr>
              <w:t>10 March 2000</w:t>
            </w:r>
          </w:p>
          <w:p>
            <w:pPr>
              <w:pStyle w:val="Normal"/>
              <w:jc w:val="both"/>
              <w:rPr>
                <w:sz w:val="24"/>
                <w:lang w:val="en-CA"/>
              </w:rPr>
            </w:pPr>
            <w:r>
              <w:rPr>
                <w:sz w:val="24"/>
                <w:lang w:val="en-CA"/>
              </w:rPr>
            </w:r>
          </w:p>
        </w:tc>
      </w:tr>
    </w:tbl>
    <w:p>
      <w:pPr>
        <w:pStyle w:val="Normal"/>
        <w:rPr>
          <w:lang w:val="en-CA"/>
        </w:rPr>
      </w:pPr>
      <w:r>
        <w:rPr>
          <w:lang w:val="en-CA"/>
        </w:rPr>
      </w:r>
    </w:p>
    <w:p>
      <w:pPr>
        <w:pStyle w:val="Heading2"/>
        <w:ind w:hanging="0" w:start="0"/>
        <w:rPr>
          <w:color w:val="000000"/>
        </w:rPr>
      </w:pPr>
      <w:r>
        <w:rPr/>
        <w:t>Financial Energy Master Agreement</w:t>
      </w:r>
    </w:p>
    <w:p>
      <w:pPr>
        <w:pStyle w:val="Normal"/>
        <w:spacing w:lineRule="atLeast" w:line="240"/>
        <w:rPr>
          <w:color w:val="000000"/>
          <w:sz w:val="24"/>
          <w:lang w:val="en-CA"/>
        </w:rPr>
      </w:pPr>
      <w:r>
        <w:rPr>
          <w:color w:val="000000"/>
          <w:sz w:val="24"/>
          <w:lang w:val="en-CA"/>
        </w:rPr>
      </w:r>
    </w:p>
    <w:p>
      <w:pPr>
        <w:pStyle w:val="BodyText"/>
        <w:rPr/>
      </w:pPr>
      <w:r>
        <w:rPr/>
        <w:t>With reference to our telephone conversation of earlier today, please find attached  files copies of the Financial Energy Master Agreement (FEMA), the different forms of Confirmation and the draft General Description of the new documentation.  Certain amendments of  FEMA have been made after the draft General Description was prepared in late October last year, why not all cross-references in the latter to different Sections in FEMA may be numerically correct.  The General Description should, however, give a good feel for what FEMA is about.</w:t>
      </w:r>
    </w:p>
    <w:p>
      <w:pPr>
        <w:pStyle w:val="Normal"/>
        <w:spacing w:lineRule="atLeast" w:line="240"/>
        <w:jc w:val="both"/>
        <w:rPr>
          <w:color w:val="000000"/>
          <w:sz w:val="24"/>
          <w:lang w:val="en-CA"/>
        </w:rPr>
      </w:pPr>
      <w:r>
        <w:rPr>
          <w:color w:val="000000"/>
          <w:sz w:val="24"/>
          <w:lang w:val="en-CA"/>
        </w:rPr>
      </w:r>
    </w:p>
    <w:p>
      <w:pPr>
        <w:pStyle w:val="Normal"/>
        <w:jc w:val="both"/>
        <w:rPr/>
      </w:pPr>
      <w:r>
        <w:rPr>
          <w:color w:val="000000"/>
          <w:sz w:val="24"/>
          <w:lang w:val="en-CA"/>
        </w:rPr>
        <w:t xml:space="preserve">Further, it has been decided to obtain legal opinions on FEMA and counsel in Norway (Wiersholm, Mellby &amp; Bech), Sweden (Advokatfirman Vinge), Denmark (Kromann &amp; Münter), Finland (Roschier-Holmberg &amp; Waselius), England (Allen &amp; Overy), Germany (Bruckhaus Westrick Heller Löber) and The Netherlands (De Brauw, Blackstone Westbroek) have therefore been instructed on the matter.  The opinions are expected to drop in later this month.  </w:t>
      </w:r>
      <w:r>
        <w:rPr>
          <w:sz w:val="24"/>
          <w:lang w:val="en-CA"/>
        </w:rPr>
        <w:t xml:space="preserve">To date, twelve companies (Enron, </w:t>
      </w:r>
      <w:r>
        <w:rPr>
          <w:color w:val="000000"/>
          <w:sz w:val="24"/>
          <w:lang w:val="en-CA"/>
        </w:rPr>
        <w:t xml:space="preserve">Sydkraft, Vattenfall, Statkraft, Fortum, Eastern Electricity, National Power, EDF Trading, Tractebel, UtiliCorp, Preussen Elektra and Asea Brown Boveri) </w:t>
      </w:r>
      <w:r>
        <w:rPr>
          <w:sz w:val="24"/>
          <w:lang w:val="en-CA"/>
        </w:rPr>
        <w:t xml:space="preserve">have agreed to carry the costs that will be incurred in the process of obtaining the opinions.  </w:t>
      </w:r>
      <w:r>
        <w:rPr>
          <w:color w:val="000000"/>
          <w:sz w:val="24"/>
          <w:lang w:val="en-CA"/>
        </w:rPr>
        <w:t>For your information, I also attach the relevant form of opinion circulated to the said law firms (meant to be used as a model for their respective opinions).</w:t>
      </w:r>
    </w:p>
    <w:p>
      <w:pPr>
        <w:pStyle w:val="Normal"/>
        <w:spacing w:lineRule="atLeast" w:line="240"/>
        <w:jc w:val="both"/>
        <w:rPr>
          <w:color w:val="000000"/>
          <w:sz w:val="24"/>
          <w:lang w:val="en-CA"/>
        </w:rPr>
      </w:pPr>
      <w:r>
        <w:rPr>
          <w:color w:val="000000"/>
          <w:sz w:val="24"/>
          <w:lang w:val="en-CA"/>
        </w:rPr>
      </w:r>
    </w:p>
    <w:p>
      <w:pPr>
        <w:pStyle w:val="Normal"/>
        <w:spacing w:lineRule="atLeast" w:line="240"/>
        <w:jc w:val="both"/>
        <w:rPr>
          <w:color w:val="000000"/>
          <w:sz w:val="24"/>
          <w:lang w:val="en-CA"/>
        </w:rPr>
      </w:pPr>
      <w:r>
        <w:rPr>
          <w:color w:val="000000"/>
          <w:sz w:val="24"/>
          <w:lang w:val="en-CA"/>
        </w:rPr>
        <w:t xml:space="preserve">Please contact me if you have any questions or require any further information on this matter.  I am happy to further explain the process that lead to FEMA and the compromises behind the documentation. </w:t>
      </w:r>
    </w:p>
    <w:p>
      <w:pPr>
        <w:pStyle w:val="Normal"/>
        <w:spacing w:lineRule="atLeast" w:line="240"/>
        <w:jc w:val="both"/>
        <w:rPr>
          <w:color w:val="000000"/>
          <w:sz w:val="24"/>
          <w:lang w:val="en-CA"/>
        </w:rPr>
      </w:pPr>
      <w:r>
        <w:rPr>
          <w:color w:val="000000"/>
          <w:sz w:val="24"/>
          <w:lang w:val="en-CA"/>
        </w:rPr>
      </w:r>
    </w:p>
    <w:p>
      <w:pPr>
        <w:pStyle w:val="BodyTextIndent2"/>
        <w:ind w:hanging="0" w:start="0" w:end="0"/>
        <w:jc w:val="center"/>
        <w:rPr>
          <w:lang w:val="en-CA"/>
        </w:rPr>
      </w:pPr>
      <w:r>
        <w:rPr>
          <w:lang w:val="en-CA"/>
        </w:rPr>
        <w:t>_____________________________</w:t>
      </w:r>
    </w:p>
    <w:sectPr>
      <w:headerReference w:type="default" r:id="rId2"/>
      <w:headerReference w:type="first" r:id="rId3"/>
      <w:type w:val="nextPage"/>
      <w:pgSz w:w="11906" w:h="16838"/>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r>
    <w:r>
      <mc:AlternateContent>
        <mc:Choice Requires="wps">
          <w:drawing>
            <wp:anchor behindDoc="0" distT="0" distB="0" distL="0" distR="0" simplePos="0" locked="0" layoutInCell="1" allowOverlap="1" relativeHeight="0">
              <wp:simplePos x="0" y="0"/>
              <wp:positionH relativeFrom="page">
                <wp:posOffset>6401435</wp:posOffset>
              </wp:positionH>
              <wp:positionV relativeFrom="paragraph">
                <wp:posOffset>7620</wp:posOffset>
              </wp:positionV>
              <wp:extent cx="889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Header"/>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6pt;mso-position-vertical-relative:text;margin-left:504.05pt;mso-position-horizontal-relative:page">
              <v:fill opacity="0f"/>
              <v:textbox inset="0in,0in,0in,0in">
                <w:txbxContent>
                  <w:p>
                    <w:pPr>
                      <w:pStyle w:val="Header"/>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jc w:val="both"/>
      <w:outlineLvl w:val="0"/>
    </w:pPr>
    <w:rPr>
      <w:color w:val="000000"/>
      <w:sz w:val="24"/>
      <w:lang w:val="en-AU" w:eastAsia="en-US"/>
    </w:rPr>
  </w:style>
  <w:style w:type="paragraph" w:styleId="Heading2">
    <w:name w:val="heading 2"/>
    <w:basedOn w:val="Normal"/>
    <w:next w:val="Normal"/>
    <w:qFormat/>
    <w:pPr>
      <w:keepNext w:val="true"/>
      <w:numPr>
        <w:ilvl w:val="1"/>
        <w:numId w:val="1"/>
      </w:numPr>
      <w:spacing w:lineRule="atLeast" w:line="240"/>
      <w:outlineLvl w:val="1"/>
    </w:pPr>
    <w:rPr>
      <w:b/>
      <w:sz w:val="24"/>
      <w:lang w:val="en-CA"/>
    </w:rPr>
  </w:style>
  <w:style w:type="paragraph" w:styleId="Heading3">
    <w:name w:val="heading 3"/>
    <w:basedOn w:val="Normal"/>
    <w:next w:val="Normal"/>
    <w:qFormat/>
    <w:pPr>
      <w:keepNext w:val="true"/>
      <w:numPr>
        <w:ilvl w:val="2"/>
        <w:numId w:val="1"/>
      </w:numPr>
      <w:jc w:val="both"/>
      <w:outlineLvl w:val="2"/>
    </w:pPr>
    <w:rPr>
      <w:b/>
      <w:sz w:val="24"/>
    </w:rPr>
  </w:style>
  <w:style w:type="paragraph" w:styleId="Heading4">
    <w:name w:val="heading 4"/>
    <w:basedOn w:val="Normal"/>
    <w:next w:val="Normal"/>
    <w:qFormat/>
    <w:pPr>
      <w:keepNext w:val="true"/>
      <w:numPr>
        <w:ilvl w:val="3"/>
        <w:numId w:val="1"/>
      </w:numPr>
      <w:outlineLvl w:val="3"/>
    </w:pPr>
    <w:rPr>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jc w:val="both"/>
    </w:pPr>
    <w:rPr>
      <w:color w:val="000000"/>
      <w:sz w:val="24"/>
      <w:lang w:val="en-CA"/>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z w:val="24"/>
    </w:rPr>
  </w:style>
  <w:style w:type="paragraph" w:styleId="BodyTextIndent2">
    <w:name w:val="Body Text Indent 2"/>
    <w:basedOn w:val="Normal"/>
    <w:qFormat/>
    <w:pPr>
      <w:ind w:hanging="709" w:start="709" w:end="0"/>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536" w:leader="none"/>
        <w:tab w:val="right" w:pos="9072" w:leader="none"/>
      </w:tabs>
    </w:pPr>
    <w:rPr/>
  </w:style>
  <w:style w:type="paragraph" w:styleId="Footer">
    <w:name w:val="footer"/>
    <w:basedOn w:val="Normal"/>
    <w:pPr>
      <w:tabs>
        <w:tab w:val="clear" w:pos="720"/>
        <w:tab w:val="center" w:pos="4536" w:leader="none"/>
        <w:tab w:val="right" w:pos="9072"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2000-03-10T16:12:00Z</dcterms:created>
  <dc:creator>Martin Rosell</dc:creator>
  <dc:description/>
  <dc:language>en-CA</dc:language>
  <cp:lastModifiedBy>mrosell2</cp:lastModifiedBy>
  <cp:lastPrinted>1999-12-13T09:25:00Z</cp:lastPrinted>
  <dcterms:modified xsi:type="dcterms:W3CDTF">2000-03-10T16:16:00Z</dcterms:modified>
  <cp:revision>3</cp:revision>
  <dc:subject/>
  <dc:title>To:</dc:title>
</cp:coreProperties>
</file>