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Valuation of Derivative Contracts in the Raptors Vehicles</w:t>
      </w:r>
    </w:p>
    <w:p>
      <w:pPr>
        <w:pStyle w:val="Normal"/>
        <w:jc w:val="both"/>
        <w:rPr/>
      </w:pPr>
      <w:r>
        <w:rPr/>
      </w:r>
    </w:p>
    <w:p>
      <w:pPr>
        <w:pStyle w:val="BodyText"/>
        <w:rPr/>
      </w:pPr>
      <w:r>
        <w:rPr/>
        <w:t>Enron Research Group received a request to determine the value of derivative contracts involving Enron stock that are present in Raptor Vehicles 1, 2, and 4.  These contracts can be classified in the following categories based on their pay-off characteristics:</w:t>
      </w:r>
    </w:p>
    <w:p>
      <w:pPr>
        <w:pStyle w:val="BodyText"/>
        <w:rPr/>
      </w:pPr>
      <w:r>
        <w:rPr/>
      </w:r>
    </w:p>
    <w:p>
      <w:pPr>
        <w:pStyle w:val="BodyText"/>
        <w:numPr>
          <w:ilvl w:val="0"/>
          <w:numId w:val="2"/>
        </w:numPr>
        <w:rPr/>
      </w:pPr>
      <w:r>
        <w:rPr/>
        <w:t>Peregrine Contingent Forwards, also known as Whitewing Waterfall,</w:t>
      </w:r>
    </w:p>
    <w:p>
      <w:pPr>
        <w:pStyle w:val="BodyText"/>
        <w:numPr>
          <w:ilvl w:val="0"/>
          <w:numId w:val="2"/>
        </w:numPr>
        <w:rPr/>
      </w:pPr>
      <w:r>
        <w:rPr/>
        <w:t>UBS Forward,</w:t>
      </w:r>
    </w:p>
    <w:p>
      <w:pPr>
        <w:pStyle w:val="BodyText"/>
        <w:numPr>
          <w:ilvl w:val="0"/>
          <w:numId w:val="2"/>
        </w:numPr>
        <w:rPr/>
      </w:pPr>
      <w:r>
        <w:rPr/>
        <w:t xml:space="preserve">Collar on UBS Forward, </w:t>
      </w:r>
    </w:p>
    <w:p>
      <w:pPr>
        <w:pStyle w:val="BodyText"/>
        <w:numPr>
          <w:ilvl w:val="0"/>
          <w:numId w:val="2"/>
        </w:numPr>
        <w:rPr/>
      </w:pPr>
      <w:r>
        <w:rPr/>
        <w:t>Collars on Peregrine Contingent Forwards,</w:t>
      </w:r>
    </w:p>
    <w:p>
      <w:pPr>
        <w:pStyle w:val="BodyText"/>
        <w:numPr>
          <w:ilvl w:val="0"/>
          <w:numId w:val="2"/>
        </w:numPr>
        <w:rPr/>
      </w:pPr>
      <w:r>
        <w:rPr/>
        <w:t>Public and Private Swaps,</w:t>
      </w:r>
    </w:p>
    <w:p>
      <w:pPr>
        <w:pStyle w:val="BodyText"/>
        <w:numPr>
          <w:ilvl w:val="0"/>
          <w:numId w:val="2"/>
        </w:numPr>
        <w:rPr/>
      </w:pPr>
      <w:r>
        <w:rPr/>
        <w:t>Jedi Forwards,</w:t>
      </w:r>
    </w:p>
    <w:p>
      <w:pPr>
        <w:pStyle w:val="BodyText"/>
        <w:numPr>
          <w:ilvl w:val="0"/>
          <w:numId w:val="2"/>
        </w:numPr>
        <w:rPr/>
      </w:pPr>
      <w:r>
        <w:rPr/>
        <w:t>Collars on Jedi Forwards,</w:t>
      </w:r>
    </w:p>
    <w:p>
      <w:pPr>
        <w:pStyle w:val="BodyText"/>
        <w:numPr>
          <w:ilvl w:val="0"/>
          <w:numId w:val="2"/>
        </w:numPr>
        <w:rPr/>
      </w:pPr>
      <w:r>
        <w:rPr/>
        <w:t>Reverse Contingent Forwards</w:t>
      </w:r>
    </w:p>
    <w:p>
      <w:pPr>
        <w:pStyle w:val="BodyText"/>
        <w:rPr/>
      </w:pPr>
      <w:r>
        <w:rPr/>
      </w:r>
    </w:p>
    <w:p>
      <w:pPr>
        <w:pStyle w:val="BodyText"/>
        <w:rPr/>
      </w:pPr>
      <w:r>
        <w:rPr/>
        <w:t>In addition, the Reverse Contingent Forward and the Jedi Forward carry a restriction in that the counterparty would be prohibited from subsequently selling the shares – in the event of a delivery under the transaction – for another two years.  Also, the counterparty agreed not to hedge its position for the same period.</w:t>
      </w:r>
    </w:p>
    <w:p>
      <w:pPr>
        <w:pStyle w:val="BodyText"/>
        <w:rPr/>
      </w:pPr>
      <w:r>
        <w:rPr/>
      </w:r>
    </w:p>
    <w:p>
      <w:pPr>
        <w:pStyle w:val="BodyText"/>
        <w:rPr/>
      </w:pPr>
      <w:r>
        <w:rPr/>
        <w:t>The value of plain-vanilla forward contracts and swaps was directly calculated from the screen price (market value as of the valuation date).  Collars were valued as portfolios of calls and puts.  The only two contracts involving more complex structures are Peregrine Contingent Forward, and the Reverse Contingent Forward.  In the following, the methodology of valuing these contracts will be described.  Finally, the methodology for valuing the two-year restriction – beyond maturity – will be discussed.</w:t>
      </w:r>
    </w:p>
    <w:p>
      <w:pPr>
        <w:pStyle w:val="BodyText"/>
        <w:rPr/>
      </w:pPr>
      <w:r>
        <w:rPr/>
      </w:r>
    </w:p>
    <w:p>
      <w:pPr>
        <w:pStyle w:val="BodyText"/>
        <w:rPr>
          <w:b/>
          <w:bCs/>
        </w:rPr>
      </w:pPr>
      <w:r>
        <w:rPr>
          <w:b/>
          <w:bCs/>
        </w:rPr>
        <w:t>Peregrine Contingent Forward</w:t>
      </w:r>
    </w:p>
    <w:p>
      <w:pPr>
        <w:pStyle w:val="BodyText"/>
        <w:rPr>
          <w:b/>
          <w:bCs/>
        </w:rPr>
      </w:pPr>
      <w:r>
        <w:rPr>
          <w:b/>
          <w:bCs/>
        </w:rPr>
      </w:r>
    </w:p>
    <w:p>
      <w:pPr>
        <w:pStyle w:val="BodyText"/>
        <w:rPr>
          <w:u w:val="single"/>
        </w:rPr>
      </w:pPr>
      <w:r>
        <w:rPr>
          <w:u w:val="single"/>
        </w:rPr>
        <w:t>Outline</w:t>
      </w:r>
    </w:p>
    <w:p>
      <w:pPr>
        <w:pStyle w:val="BodyText"/>
        <w:rPr>
          <w:u w:val="single"/>
        </w:rPr>
      </w:pPr>
      <w:r>
        <w:rPr>
          <w:u w:val="single"/>
        </w:rPr>
      </w:r>
    </w:p>
    <w:p>
      <w:pPr>
        <w:pStyle w:val="BodyText"/>
        <w:rPr/>
      </w:pPr>
      <w:r>
        <w:rPr/>
        <w:t>Whitewing Vehicle is capitalized with 50MM shares of ENE stock and has a debt of $2.4275B.  If the vehicle at maturity has shares left over after paying the abovementioned debt, shares not to exceed the numbers mentioned in the following schedule will be paid to the raptor vehicles going from top to bottom.</w:t>
      </w:r>
    </w:p>
    <w:p>
      <w:pPr>
        <w:pStyle w:val="BodyText"/>
        <w:rPr/>
      </w:pPr>
      <w:r>
        <w:rPr/>
      </w:r>
    </w:p>
    <w:tbl>
      <w:tblPr>
        <w:tblW w:w="7788" w:type="dxa"/>
        <w:jc w:val="start"/>
        <w:tblInd w:w="0" w:type="dxa"/>
        <w:tblLayout w:type="fixed"/>
        <w:tblCellMar>
          <w:top w:w="0" w:type="dxa"/>
          <w:start w:w="0" w:type="dxa"/>
          <w:bottom w:w="0" w:type="dxa"/>
          <w:end w:w="0" w:type="dxa"/>
        </w:tblCellMar>
      </w:tblPr>
      <w:tblGrid>
        <w:gridCol w:w="1324"/>
        <w:gridCol w:w="3272"/>
        <w:gridCol w:w="823"/>
        <w:gridCol w:w="2369"/>
      </w:tblGrid>
      <w:tr>
        <w:trPr>
          <w:trHeight w:val="225" w:hRule="atLeast"/>
        </w:trPr>
        <w:tc>
          <w:tcPr>
            <w:tcW w:w="1324" w:type="dxa"/>
            <w:tcBorders/>
            <w:vAlign w:val="bottom"/>
          </w:tcPr>
          <w:p>
            <w:pPr>
              <w:pStyle w:val="Normal"/>
              <w:snapToGrid w:val="false"/>
              <w:jc w:val="center"/>
              <w:rPr>
                <w:rFonts w:eastAsia="Arial Unicode MS"/>
                <w:szCs w:val="16"/>
              </w:rPr>
            </w:pPr>
            <w:r>
              <w:rPr>
                <w:rFonts w:eastAsia="Arial Unicode MS"/>
                <w:szCs w:val="16"/>
              </w:rPr>
            </w:r>
          </w:p>
        </w:tc>
        <w:tc>
          <w:tcPr>
            <w:tcW w:w="3272" w:type="dxa"/>
            <w:tcBorders/>
            <w:vAlign w:val="bottom"/>
          </w:tcPr>
          <w:p>
            <w:pPr>
              <w:pStyle w:val="Normal"/>
              <w:snapToGrid w:val="false"/>
              <w:jc w:val="center"/>
              <w:rPr>
                <w:rFonts w:eastAsia="Arial Unicode MS"/>
                <w:szCs w:val="16"/>
              </w:rPr>
            </w:pPr>
            <w:r>
              <w:rPr>
                <w:rFonts w:eastAsia="Arial Unicode MS"/>
                <w:szCs w:val="16"/>
              </w:rPr>
            </w:r>
          </w:p>
        </w:tc>
        <w:tc>
          <w:tcPr>
            <w:tcW w:w="3192" w:type="dxa"/>
            <w:gridSpan w:val="2"/>
            <w:tcBorders/>
            <w:vAlign w:val="bottom"/>
          </w:tcPr>
          <w:p>
            <w:pPr>
              <w:pStyle w:val="Heading2"/>
              <w:ind w:hanging="0" w:start="0"/>
              <w:rPr>
                <w:rFonts w:eastAsia="Arial Unicode MS"/>
              </w:rPr>
            </w:pPr>
            <w:r>
              <w:rPr/>
              <w:t>ENE Price Range for Payoff</w:t>
            </w:r>
          </w:p>
        </w:tc>
      </w:tr>
      <w:tr>
        <w:trPr>
          <w:trHeight w:val="225" w:hRule="atLeast"/>
        </w:trPr>
        <w:tc>
          <w:tcPr>
            <w:tcW w:w="1324" w:type="dxa"/>
            <w:tcBorders/>
            <w:vAlign w:val="bottom"/>
          </w:tcPr>
          <w:p>
            <w:pPr>
              <w:pStyle w:val="Normal"/>
              <w:jc w:val="center"/>
              <w:rPr>
                <w:rFonts w:eastAsia="Arial Unicode MS"/>
                <w:b/>
                <w:bCs/>
                <w:szCs w:val="16"/>
              </w:rPr>
            </w:pPr>
            <w:r>
              <w:rPr>
                <w:b/>
                <w:bCs/>
                <w:szCs w:val="16"/>
              </w:rPr>
              <w:t>Vehicle</w:t>
            </w:r>
          </w:p>
        </w:tc>
        <w:tc>
          <w:tcPr>
            <w:tcW w:w="3272" w:type="dxa"/>
            <w:tcBorders/>
            <w:vAlign w:val="bottom"/>
          </w:tcPr>
          <w:p>
            <w:pPr>
              <w:pStyle w:val="Normal"/>
              <w:jc w:val="center"/>
              <w:rPr>
                <w:rFonts w:eastAsia="Arial Unicode MS"/>
                <w:b/>
                <w:bCs/>
                <w:szCs w:val="16"/>
              </w:rPr>
            </w:pPr>
            <w:r>
              <w:rPr>
                <w:b/>
                <w:bCs/>
                <w:szCs w:val="16"/>
              </w:rPr>
              <w:t>Maximum Number of Shares</w:t>
            </w:r>
          </w:p>
        </w:tc>
        <w:tc>
          <w:tcPr>
            <w:tcW w:w="823" w:type="dxa"/>
            <w:tcBorders/>
            <w:vAlign w:val="bottom"/>
          </w:tcPr>
          <w:p>
            <w:pPr>
              <w:pStyle w:val="Normal"/>
              <w:jc w:val="center"/>
              <w:rPr>
                <w:rFonts w:eastAsia="Arial Unicode MS"/>
                <w:b/>
                <w:bCs/>
                <w:szCs w:val="16"/>
              </w:rPr>
            </w:pPr>
            <w:r>
              <w:rPr>
                <w:b/>
                <w:bCs/>
                <w:szCs w:val="16"/>
              </w:rPr>
              <w:t>Start</w:t>
            </w:r>
          </w:p>
        </w:tc>
        <w:tc>
          <w:tcPr>
            <w:tcW w:w="2369" w:type="dxa"/>
            <w:tcBorders/>
            <w:vAlign w:val="bottom"/>
          </w:tcPr>
          <w:p>
            <w:pPr>
              <w:pStyle w:val="Normal"/>
              <w:jc w:val="center"/>
              <w:rPr>
                <w:rFonts w:eastAsia="Arial Unicode MS"/>
                <w:b/>
                <w:bCs/>
                <w:szCs w:val="16"/>
              </w:rPr>
            </w:pPr>
            <w:r>
              <w:rPr>
                <w:b/>
                <w:bCs/>
                <w:szCs w:val="16"/>
              </w:rPr>
              <w:t>End</w:t>
            </w:r>
          </w:p>
        </w:tc>
      </w:tr>
      <w:tr>
        <w:trPr>
          <w:trHeight w:val="225" w:hRule="atLeast"/>
        </w:trPr>
        <w:tc>
          <w:tcPr>
            <w:tcW w:w="1324" w:type="dxa"/>
            <w:tcBorders/>
            <w:vAlign w:val="bottom"/>
          </w:tcPr>
          <w:p>
            <w:pPr>
              <w:pStyle w:val="Heading2"/>
              <w:ind w:hanging="0" w:start="0"/>
              <w:rPr>
                <w:rFonts w:eastAsia="Arial Unicode MS"/>
              </w:rPr>
            </w:pPr>
            <w:r>
              <w:rPr/>
              <w:t>Raptor1</w:t>
            </w:r>
          </w:p>
        </w:tc>
        <w:tc>
          <w:tcPr>
            <w:tcW w:w="3272" w:type="dxa"/>
            <w:tcBorders/>
            <w:vAlign w:val="bottom"/>
          </w:tcPr>
          <w:p>
            <w:pPr>
              <w:pStyle w:val="Normal"/>
              <w:jc w:val="center"/>
              <w:rPr>
                <w:rFonts w:eastAsia="Arial Unicode MS"/>
                <w:color w:val="0000FF"/>
                <w:szCs w:val="16"/>
              </w:rPr>
            </w:pPr>
            <w:r>
              <w:rPr>
                <w:color w:val="0000FF"/>
                <w:szCs w:val="16"/>
              </w:rPr>
              <w:t>3,876,755</w:t>
            </w:r>
          </w:p>
        </w:tc>
        <w:tc>
          <w:tcPr>
            <w:tcW w:w="823" w:type="dxa"/>
            <w:tcBorders/>
            <w:vAlign w:val="bottom"/>
          </w:tcPr>
          <w:p>
            <w:pPr>
              <w:pStyle w:val="Normal"/>
              <w:jc w:val="center"/>
              <w:rPr>
                <w:rFonts w:eastAsia="Arial Unicode MS"/>
                <w:szCs w:val="16"/>
              </w:rPr>
            </w:pPr>
            <w:r>
              <w:rPr>
                <w:szCs w:val="16"/>
              </w:rPr>
              <w:t>$50.000</w:t>
            </w:r>
          </w:p>
        </w:tc>
        <w:tc>
          <w:tcPr>
            <w:tcW w:w="2369" w:type="dxa"/>
            <w:tcBorders/>
            <w:vAlign w:val="bottom"/>
          </w:tcPr>
          <w:p>
            <w:pPr>
              <w:pStyle w:val="Normal"/>
              <w:jc w:val="center"/>
              <w:rPr>
                <w:rFonts w:eastAsia="Arial Unicode MS"/>
                <w:szCs w:val="16"/>
              </w:rPr>
            </w:pPr>
            <w:r>
              <w:rPr>
                <w:szCs w:val="16"/>
              </w:rPr>
              <w:t>$52.631</w:t>
            </w:r>
          </w:p>
        </w:tc>
      </w:tr>
      <w:tr>
        <w:trPr>
          <w:trHeight w:val="225" w:hRule="atLeast"/>
        </w:trPr>
        <w:tc>
          <w:tcPr>
            <w:tcW w:w="1324" w:type="dxa"/>
            <w:tcBorders/>
            <w:vAlign w:val="bottom"/>
          </w:tcPr>
          <w:p>
            <w:pPr>
              <w:pStyle w:val="Normal"/>
              <w:jc w:val="center"/>
              <w:rPr>
                <w:rFonts w:eastAsia="Arial Unicode MS"/>
                <w:b/>
                <w:bCs/>
                <w:szCs w:val="16"/>
              </w:rPr>
            </w:pPr>
            <w:r>
              <w:rPr>
                <w:b/>
                <w:bCs/>
                <w:szCs w:val="16"/>
              </w:rPr>
              <w:t>Raptor2</w:t>
            </w:r>
          </w:p>
        </w:tc>
        <w:tc>
          <w:tcPr>
            <w:tcW w:w="3272" w:type="dxa"/>
            <w:tcBorders/>
            <w:vAlign w:val="bottom"/>
          </w:tcPr>
          <w:p>
            <w:pPr>
              <w:pStyle w:val="Normal"/>
              <w:jc w:val="center"/>
              <w:rPr>
                <w:rFonts w:eastAsia="Arial Unicode MS"/>
                <w:color w:val="0000FF"/>
                <w:szCs w:val="16"/>
              </w:rPr>
            </w:pPr>
            <w:r>
              <w:rPr>
                <w:color w:val="0000FF"/>
                <w:szCs w:val="16"/>
              </w:rPr>
              <w:t>7,809,790</w:t>
            </w:r>
          </w:p>
        </w:tc>
        <w:tc>
          <w:tcPr>
            <w:tcW w:w="823" w:type="dxa"/>
            <w:tcBorders/>
            <w:vAlign w:val="bottom"/>
          </w:tcPr>
          <w:p>
            <w:pPr>
              <w:pStyle w:val="Normal"/>
              <w:jc w:val="center"/>
              <w:rPr>
                <w:rFonts w:eastAsia="Arial Unicode MS"/>
                <w:szCs w:val="16"/>
              </w:rPr>
            </w:pPr>
            <w:r>
              <w:rPr>
                <w:szCs w:val="16"/>
              </w:rPr>
              <w:t>$52.631</w:t>
            </w:r>
          </w:p>
        </w:tc>
        <w:tc>
          <w:tcPr>
            <w:tcW w:w="2369" w:type="dxa"/>
            <w:tcBorders/>
            <w:vAlign w:val="bottom"/>
          </w:tcPr>
          <w:p>
            <w:pPr>
              <w:pStyle w:val="Normal"/>
              <w:jc w:val="center"/>
              <w:rPr>
                <w:rFonts w:eastAsia="Arial Unicode MS"/>
                <w:szCs w:val="16"/>
              </w:rPr>
            </w:pPr>
            <w:r>
              <w:rPr>
                <w:szCs w:val="16"/>
              </w:rPr>
              <w:t>$63.359</w:t>
            </w:r>
          </w:p>
        </w:tc>
      </w:tr>
      <w:tr>
        <w:trPr>
          <w:trHeight w:val="225" w:hRule="atLeast"/>
        </w:trPr>
        <w:tc>
          <w:tcPr>
            <w:tcW w:w="1324" w:type="dxa"/>
            <w:tcBorders/>
            <w:vAlign w:val="bottom"/>
          </w:tcPr>
          <w:p>
            <w:pPr>
              <w:pStyle w:val="Normal"/>
              <w:jc w:val="center"/>
              <w:rPr>
                <w:rFonts w:eastAsia="Arial Unicode MS"/>
                <w:b/>
                <w:bCs/>
                <w:szCs w:val="16"/>
              </w:rPr>
            </w:pPr>
            <w:r>
              <w:rPr>
                <w:b/>
                <w:bCs/>
                <w:szCs w:val="16"/>
              </w:rPr>
              <w:t>Raptor4</w:t>
            </w:r>
          </w:p>
        </w:tc>
        <w:tc>
          <w:tcPr>
            <w:tcW w:w="3272" w:type="dxa"/>
            <w:tcBorders/>
            <w:vAlign w:val="bottom"/>
          </w:tcPr>
          <w:p>
            <w:pPr>
              <w:pStyle w:val="Normal"/>
              <w:jc w:val="center"/>
              <w:rPr>
                <w:rFonts w:eastAsia="Arial Unicode MS"/>
                <w:color w:val="0000FF"/>
                <w:szCs w:val="16"/>
              </w:rPr>
            </w:pPr>
            <w:r>
              <w:rPr>
                <w:color w:val="0000FF"/>
                <w:szCs w:val="16"/>
              </w:rPr>
              <w:t>6,326,045</w:t>
            </w:r>
          </w:p>
        </w:tc>
        <w:tc>
          <w:tcPr>
            <w:tcW w:w="823" w:type="dxa"/>
            <w:tcBorders/>
            <w:vAlign w:val="bottom"/>
          </w:tcPr>
          <w:p>
            <w:pPr>
              <w:pStyle w:val="Normal"/>
              <w:jc w:val="center"/>
              <w:rPr>
                <w:rFonts w:eastAsia="Arial Unicode MS"/>
                <w:szCs w:val="16"/>
              </w:rPr>
            </w:pPr>
            <w:r>
              <w:rPr>
                <w:szCs w:val="16"/>
              </w:rPr>
              <w:t>$63.359</w:t>
            </w:r>
          </w:p>
        </w:tc>
        <w:tc>
          <w:tcPr>
            <w:tcW w:w="2369" w:type="dxa"/>
            <w:tcBorders/>
            <w:vAlign w:val="bottom"/>
          </w:tcPr>
          <w:p>
            <w:pPr>
              <w:pStyle w:val="Normal"/>
              <w:jc w:val="center"/>
              <w:rPr>
                <w:rFonts w:eastAsia="Arial Unicode MS"/>
                <w:szCs w:val="16"/>
              </w:rPr>
            </w:pPr>
            <w:r>
              <w:rPr>
                <w:szCs w:val="16"/>
              </w:rPr>
              <w:t>$75.889</w:t>
            </w:r>
          </w:p>
        </w:tc>
      </w:tr>
      <w:tr>
        <w:trPr>
          <w:trHeight w:val="225" w:hRule="atLeast"/>
        </w:trPr>
        <w:tc>
          <w:tcPr>
            <w:tcW w:w="1324" w:type="dxa"/>
            <w:tcBorders/>
            <w:vAlign w:val="bottom"/>
          </w:tcPr>
          <w:p>
            <w:pPr>
              <w:pStyle w:val="Normal"/>
              <w:jc w:val="center"/>
              <w:rPr>
                <w:rFonts w:eastAsia="Arial Unicode MS"/>
                <w:b/>
                <w:bCs/>
                <w:szCs w:val="16"/>
              </w:rPr>
            </w:pPr>
            <w:r>
              <w:rPr>
                <w:b/>
                <w:bCs/>
                <w:szCs w:val="16"/>
              </w:rPr>
              <w:t>Total</w:t>
            </w:r>
          </w:p>
        </w:tc>
        <w:tc>
          <w:tcPr>
            <w:tcW w:w="3272" w:type="dxa"/>
            <w:tcBorders/>
            <w:vAlign w:val="bottom"/>
          </w:tcPr>
          <w:p>
            <w:pPr>
              <w:pStyle w:val="Normal"/>
              <w:jc w:val="center"/>
              <w:rPr>
                <w:rFonts w:eastAsia="Arial Unicode MS"/>
                <w:color w:val="0000FF"/>
                <w:szCs w:val="16"/>
              </w:rPr>
            </w:pPr>
            <w:r>
              <w:rPr>
                <w:color w:val="0000FF"/>
                <w:szCs w:val="16"/>
              </w:rPr>
              <w:t>18,012,590</w:t>
            </w:r>
          </w:p>
        </w:tc>
        <w:tc>
          <w:tcPr>
            <w:tcW w:w="823" w:type="dxa"/>
            <w:tcBorders/>
            <w:vAlign w:val="bottom"/>
          </w:tcPr>
          <w:p>
            <w:pPr>
              <w:pStyle w:val="Normal"/>
              <w:snapToGrid w:val="false"/>
              <w:jc w:val="center"/>
              <w:rPr>
                <w:rFonts w:eastAsia="Arial Unicode MS"/>
                <w:color w:val="0000FF"/>
                <w:szCs w:val="16"/>
              </w:rPr>
            </w:pPr>
            <w:r>
              <w:rPr>
                <w:rFonts w:eastAsia="Arial Unicode MS"/>
                <w:color w:val="0000FF"/>
                <w:szCs w:val="16"/>
              </w:rPr>
            </w:r>
          </w:p>
        </w:tc>
        <w:tc>
          <w:tcPr>
            <w:tcW w:w="2369" w:type="dxa"/>
            <w:tcBorders/>
            <w:vAlign w:val="bottom"/>
          </w:tcPr>
          <w:p>
            <w:pPr>
              <w:pStyle w:val="Normal"/>
              <w:snapToGrid w:val="false"/>
              <w:jc w:val="center"/>
              <w:rPr>
                <w:rFonts w:eastAsia="Arial Unicode MS"/>
                <w:szCs w:val="16"/>
              </w:rPr>
            </w:pPr>
            <w:r>
              <w:rPr>
                <w:rFonts w:eastAsia="Arial Unicode MS"/>
                <w:szCs w:val="16"/>
              </w:rPr>
            </w:r>
          </w:p>
        </w:tc>
      </w:tr>
    </w:tbl>
    <w:p>
      <w:pPr>
        <w:pStyle w:val="BodyText"/>
        <w:rPr/>
      </w:pPr>
      <w:r>
        <w:rPr/>
      </w:r>
    </w:p>
    <w:p>
      <w:pPr>
        <w:pStyle w:val="BodyText"/>
        <w:rPr/>
      </w:pPr>
      <w:r>
        <w:rPr/>
      </w:r>
    </w:p>
    <w:p>
      <w:pPr>
        <w:pStyle w:val="BodyText"/>
        <w:rPr/>
      </w:pPr>
      <w:r>
        <w:rPr/>
        <w:t>Also, Raptor 1 – the senior-most vehicle – will not begin to receive shares unless ENE stock price is at least $50, despite the fact that Whitewing’s assets exceed liabilities at $48.55 – a price less than $50.  Breakeven point equations can be solved recursively to obtain the various ENE prices at which each vehicle will begin and end receiving pay-offs from Whitewing through the Peregrine Contingent Forward.</w:t>
      </w:r>
    </w:p>
    <w:p>
      <w:pPr>
        <w:pStyle w:val="BodyText"/>
        <w:rPr/>
      </w:pPr>
      <w:r>
        <w:rPr/>
      </w:r>
    </w:p>
    <w:p>
      <w:pPr>
        <w:pStyle w:val="BodyText"/>
        <w:rPr>
          <w:u w:val="single"/>
        </w:rPr>
      </w:pPr>
      <w:r>
        <w:rPr>
          <w:u w:val="single"/>
        </w:rPr>
        <w:t>Methodology</w:t>
      </w:r>
    </w:p>
    <w:p>
      <w:pPr>
        <w:pStyle w:val="BodyText"/>
        <w:rPr>
          <w:u w:val="single"/>
        </w:rPr>
      </w:pPr>
      <w:r>
        <w:rPr>
          <w:u w:val="single"/>
        </w:rPr>
      </w:r>
    </w:p>
    <w:p>
      <w:pPr>
        <w:pStyle w:val="BodyText"/>
        <w:rPr/>
      </w:pPr>
      <w:r>
        <w:rPr/>
        <w:t>Thus, in the range of ENE price of $50-$52.631, Raptor 1 can be likened to call option on 50MM shares of ENE.  For its range, Raptor 2 can be visualized as a call option on 50 MM ENE shares less the maximum number of shares payable to Raptor 1.  Finally, Raptor 4 can be viewed as a call option in the range on 50 MM ENE shares less the sum of maximum number of shares payable to Raptors 1 and 2.</w:t>
      </w:r>
    </w:p>
    <w:p>
      <w:pPr>
        <w:pStyle w:val="BodyText"/>
        <w:rPr/>
      </w:pPr>
      <w:r>
        <w:rPr/>
      </w:r>
    </w:p>
    <w:p>
      <w:pPr>
        <w:pStyle w:val="BodyText"/>
        <w:rPr/>
      </w:pPr>
      <w:r>
        <w:rPr/>
        <w:t>With the above methodology, the value of the Peregrine Contingent Forward to each raptor vehicle can be determined by first buying ENE call options at the start of the range on the number of shares left in Whitewing after paying more senior raptors, and shorting the same number of calls at the end of the range.  Next calls on number of shares equal to the maximum number of shares receivable by the raptor are bought at exercise price equal to the end of the range.  This allows for the fact that once ENE price exceeds the top of the range, the number of shares received does not increase but the value of already received does.  Also, as Raptor 1 is paid an accumulated sum of $72.5MM once the ENE price reaches $50, this feature is incorporated through a digital call.</w:t>
      </w:r>
    </w:p>
    <w:p>
      <w:pPr>
        <w:pStyle w:val="BodyText"/>
        <w:rPr/>
      </w:pPr>
      <w:r>
        <w:rPr/>
      </w:r>
    </w:p>
    <w:p>
      <w:pPr>
        <w:pStyle w:val="Normal"/>
        <w:jc w:val="both"/>
        <w:rPr>
          <w:b/>
          <w:bCs/>
        </w:rPr>
      </w:pPr>
      <w:r>
        <w:rPr>
          <w:b/>
          <w:bCs/>
        </w:rPr>
        <w:t>Reverse Contingent Forward</w:t>
      </w:r>
    </w:p>
    <w:p>
      <w:pPr>
        <w:pStyle w:val="Normal"/>
        <w:jc w:val="both"/>
        <w:rPr/>
      </w:pPr>
      <w:r>
        <w:rPr/>
      </w:r>
    </w:p>
    <w:p>
      <w:pPr>
        <w:pStyle w:val="Heading1"/>
        <w:ind w:hanging="0" w:start="0"/>
        <w:jc w:val="both"/>
        <w:rPr/>
      </w:pPr>
      <w:r>
        <w:rPr/>
        <w:t>Outline</w:t>
      </w:r>
    </w:p>
    <w:p>
      <w:pPr>
        <w:pStyle w:val="Normal"/>
        <w:jc w:val="both"/>
        <w:rPr/>
      </w:pPr>
      <w:r>
        <w:rPr/>
      </w:r>
    </w:p>
    <w:p>
      <w:pPr>
        <w:pStyle w:val="Normal"/>
        <w:jc w:val="both"/>
        <w:rPr/>
      </w:pPr>
      <w:r>
        <w:rPr/>
        <w:t>Reverse Contingent Forward essentially makes up for the contingency that raptors may not receive the maximum number of shares allocated to them through Peregrine Contingent Forward.  Therefore, No ENE shares are delivered if the ENE price on the settlement date is above $75.889.  As the price gets progressively lower, the number of shares delivered keeps rising to make up for the shortfall.  Assume that Q shares are left in Whitewing for a particular raptor to get paid from with a debt of D, and the raptor can get a maximum of X shares from Whitewing. For a price P within the range, the raptor receives Q – D/P shares.  Therefore the Reverse Contingent Forward compensates by delivering X – (Q – D/P) shares – a value of D – (Q - X) * P.  This value linearly increases as ENE price (P) declines with a slope of (Q - X).  Once the bottom of the range is reached, the reverse contingent contract simply delivers the maximum number of shares payable all the way down to ENE price of zero.</w:t>
      </w:r>
    </w:p>
    <w:p>
      <w:pPr>
        <w:pStyle w:val="Normal"/>
        <w:jc w:val="both"/>
        <w:rPr/>
      </w:pPr>
      <w:r>
        <w:rPr/>
      </w:r>
    </w:p>
    <w:p>
      <w:pPr>
        <w:pStyle w:val="Heading3"/>
        <w:ind w:hanging="0" w:start="0"/>
        <w:rPr/>
      </w:pPr>
      <w:r>
        <w:rPr/>
        <w:t>Methodology</w:t>
      </w:r>
    </w:p>
    <w:p>
      <w:pPr>
        <w:pStyle w:val="Normal"/>
        <w:jc w:val="both"/>
        <w:rPr/>
      </w:pPr>
      <w:r>
        <w:rPr/>
      </w:r>
    </w:p>
    <w:p>
      <w:pPr>
        <w:pStyle w:val="Normal"/>
        <w:jc w:val="both"/>
        <w:rPr/>
      </w:pPr>
      <w:r>
        <w:rPr/>
        <w:t>Thus, the three compensating Reverse Contingent Forwards – one for each raptor vehicle – can be valued as a portfolio of put options.  More specifically, to replicate the Reverse Contingent Forward that compensates for Raptor 4, we buy ENE puts at the top of the range on 50MM less the sum of maximum number of shares payable to all raptors – reflecting the fact that Raptor 4 is the junior-most in claim to all Raptors.  We short puts on an identical number of shares at the price equal to the bottom of the range.  Next, we short puts at the bottom of the range equal in number to maximum number of shares payable to the raptor to reflect the fact that all shares will be delivered if the price remains under the bottom of the range.  Finally, in the particular case of Raptor 1, a digital put for $72.5MM is needed at $50 for the same reason as cited in the Peregrine Contingent Forward.</w:t>
      </w:r>
    </w:p>
    <w:p>
      <w:pPr>
        <w:pStyle w:val="Normal"/>
        <w:jc w:val="both"/>
        <w:rPr/>
      </w:pPr>
      <w:r>
        <w:rPr/>
      </w:r>
    </w:p>
    <w:p>
      <w:pPr>
        <w:pStyle w:val="Normal"/>
        <w:jc w:val="both"/>
        <w:rPr/>
      </w:pPr>
      <w:r>
        <w:rPr/>
      </w:r>
    </w:p>
    <w:p>
      <w:pPr>
        <w:pStyle w:val="Heading1"/>
        <w:ind w:hanging="0" w:start="0"/>
        <w:jc w:val="both"/>
        <w:rPr>
          <w:b/>
          <w:bCs/>
          <w:u w:val="none"/>
        </w:rPr>
      </w:pPr>
      <w:r>
        <w:rPr>
          <w:b/>
          <w:bCs/>
          <w:u w:val="none"/>
        </w:rPr>
        <w:t>Two Year Restriction</w:t>
      </w:r>
    </w:p>
    <w:p>
      <w:pPr>
        <w:pStyle w:val="Normal"/>
        <w:jc w:val="both"/>
        <w:rPr>
          <w:b/>
          <w:bCs/>
          <w:u w:val="none"/>
        </w:rPr>
      </w:pPr>
      <w:r>
        <w:rPr>
          <w:b/>
          <w:bCs/>
          <w:u w:val="none"/>
        </w:rPr>
      </w:r>
    </w:p>
    <w:p>
      <w:pPr>
        <w:pStyle w:val="Heading3"/>
        <w:ind w:hanging="0" w:start="0"/>
        <w:rPr/>
      </w:pPr>
      <w:r>
        <w:rPr/>
        <w:t>Outline</w:t>
      </w:r>
    </w:p>
    <w:p>
      <w:pPr>
        <w:pStyle w:val="Normal"/>
        <w:jc w:val="both"/>
        <w:rPr/>
      </w:pPr>
      <w:r>
        <w:rPr/>
      </w:r>
    </w:p>
    <w:p>
      <w:pPr>
        <w:pStyle w:val="Normal"/>
        <w:jc w:val="both"/>
        <w:rPr/>
      </w:pPr>
      <w:r>
        <w:rPr/>
        <w:t>The counterparty is restricted from selling, hedging, or pledging the shares it may receive for another two years after maturity. The entity would not be able to liquidate the shares to meet its ordinary or extraordinary liquidity needs by selling these shares or by posting them as collateral.  Also, as the counterparty is largely capitalized with ENE shares, a drop in ENE price will impair the credit capacity of the vehicle, and therefore its ability to meet the financial obligations and continue its business transactions.  If it were to actually control the ENE shares delivered, the entity could liquidate these shares and meet its obligations.  Alternatively, the number of shares could be dynamically adjusted through trading to keep the credit capacity from falling below a critical level.  As the entity will not actually control the shares for another two years after delivery, this transaction deprives the counterparty of the ability to take such defensive measures.  The counterparty’s explicit agreement not to hedge its exposure similarly increases its risk.  We capture the cost imposed on the counterparty – as it does not actually control the shares for another two years – by means of an American put option.</w:t>
      </w:r>
    </w:p>
    <w:p>
      <w:pPr>
        <w:pStyle w:val="Normal"/>
        <w:jc w:val="both"/>
        <w:rPr/>
      </w:pPr>
      <w:r>
        <w:rPr/>
      </w:r>
    </w:p>
    <w:p>
      <w:pPr>
        <w:pStyle w:val="Heading3"/>
        <w:ind w:hanging="0" w:start="0"/>
        <w:rPr/>
      </w:pPr>
      <w:r>
        <w:rPr/>
        <w:t>Methodology</w:t>
      </w:r>
    </w:p>
    <w:p>
      <w:pPr>
        <w:pStyle w:val="Normal"/>
        <w:jc w:val="both"/>
        <w:rPr/>
      </w:pPr>
      <w:r>
        <w:rPr/>
      </w:r>
    </w:p>
    <w:p>
      <w:pPr>
        <w:pStyle w:val="Normal"/>
        <w:jc w:val="both"/>
        <w:rPr/>
      </w:pPr>
      <w:r>
        <w:rPr/>
        <w:t>The impact of the above restriction can be neutralized in the following manner.  On the date of the delivery of ENE shares (in March 2003), if the counterparty were to buy an American put option on a two-year forward contract on ENE stock with the exercise price set equal to the forward price, it could exercise the put option if liquidity is needed due to an adverse movement in the ENE stock price.  The American put allows the entity to do this at most once, over the next two years.  It would give the entity protection against extremely adverse stock price movements.  The protection can be likened to an insurance claim that can only be made once over two years while the sale restriction is in place.</w:t>
      </w:r>
    </w:p>
    <w:p>
      <w:pPr>
        <w:pStyle w:val="Normal"/>
        <w:jc w:val="both"/>
        <w:rPr/>
      </w:pPr>
      <w:r>
        <w:rPr/>
      </w:r>
    </w:p>
    <w:p>
      <w:pPr>
        <w:pStyle w:val="BodyText"/>
        <w:rPr/>
      </w:pPr>
      <w:r>
        <w:rPr/>
        <w:t>Consistent with the above model, we computed the premium on a forward-start American put on a two-year forward contract on the delivered ENE shares and used it as the surrogate for the cost to the counterparty not actually controlling the shares for another two years.  As this premium is a constant percentage of the stock price of the settlement date, exercise price being equal to the market price, we discount the value of Jedi Forwards and Reverse Contingent Forwards by the factor.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9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b/>
      <w:bCs/>
      <w:szCs w:val="16"/>
    </w:rPr>
  </w:style>
  <w:style w:type="paragraph" w:styleId="Heading3">
    <w:name w:val="heading 3"/>
    <w:basedOn w:val="Normal"/>
    <w:next w:val="Normal"/>
    <w:qFormat/>
    <w:pPr>
      <w:keepNext w:val="true"/>
      <w:numPr>
        <w:ilvl w:val="2"/>
        <w:numId w:val="1"/>
      </w:numPr>
      <w:jc w:val="both"/>
      <w:outlineLvl w:val="2"/>
    </w:pPr>
    <w:rPr>
      <w:u w:val="single"/>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2001-09-24T20:37:00Z</dcterms:created>
  <dc:creator>rbharati</dc:creator>
  <dc:description/>
  <dc:language>en-CA</dc:language>
  <cp:lastModifiedBy>Rakesh Bharati</cp:lastModifiedBy>
  <cp:lastPrinted>2001-09-24T17:30:00Z</cp:lastPrinted>
  <dcterms:modified xsi:type="dcterms:W3CDTF">2001-09-25T03:48:00Z</dcterms:modified>
  <cp:revision>5</cp:revision>
  <dc:subject/>
  <dc:title>Cost to Jedi due to forward delivery</dc:title>
</cp:coreProperties>
</file>