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jc w:val="both"/>
        <w:rPr/>
      </w:pPr>
      <w:r>
        <w:rPr/>
        <w:t>Valuation of the Raptors’ Make Whole Provision</w:t>
      </w:r>
    </w:p>
    <w:p>
      <w:pPr>
        <w:pStyle w:val="Normal"/>
        <w:jc w:val="both"/>
        <w:rPr/>
      </w:pPr>
      <w:r>
        <w:rPr/>
      </w:r>
    </w:p>
    <w:p>
      <w:pPr>
        <w:pStyle w:val="BodyText"/>
        <w:rPr/>
      </w:pPr>
      <w:r>
        <w:rPr/>
        <w:t>Enron Research Group received a request to determine the value of two features of a certain transaction involving Enron stock</w:t>
      </w:r>
      <w:r>
        <w:rPr>
          <w:color w:val="FF00FF"/>
        </w:rPr>
        <w:t>. First, Enron Corp. enters into a contingent sale agreement to sell ENE stock to two Raptor entities (the counterparty), wherein the shares will be delivered in approximately two years.  Second, a restriction was also placed on the transaction in that the counterparty would be prohibited from subsequently selling the shares – in the event of delivery under the deal – for another two years</w:t>
      </w:r>
      <w:r>
        <w:rPr/>
        <w:t>.  Also, the counterparty agreed not to hedge its position for a same period.</w:t>
      </w:r>
    </w:p>
    <w:p>
      <w:pPr>
        <w:pStyle w:val="Normal"/>
        <w:jc w:val="both"/>
        <w:rPr/>
      </w:pPr>
      <w:r>
        <w:rPr/>
      </w:r>
    </w:p>
    <w:p>
      <w:pPr>
        <w:pStyle w:val="Heading1"/>
        <w:ind w:hanging="0" w:start="0"/>
        <w:jc w:val="both"/>
        <w:rPr/>
      </w:pPr>
      <w:r>
        <w:rPr/>
        <w:t>Deal Summary</w:t>
      </w:r>
    </w:p>
    <w:p>
      <w:pPr>
        <w:pStyle w:val="Normal"/>
        <w:jc w:val="both"/>
        <w:rPr/>
      </w:pPr>
      <w:r>
        <w:rPr/>
      </w:r>
    </w:p>
    <w:p>
      <w:pPr>
        <w:pStyle w:val="Normal"/>
        <w:jc w:val="both"/>
        <w:rPr/>
      </w:pPr>
      <w:r>
        <w:rPr/>
        <w:t xml:space="preserve">No ENE shares are delivered if the ENE price on the settlement date is above $75.89.  As the price gets progressively lower, the number of shares delivered keeps rising.  Finally the number of shares delivered reaches a plateau (approximately 18MM shares) at the stock price of $50.  Therefore, the same number of shares (18MM) is delivered in the stock price range of $0-$50. The delivery of Enron stock helps to re-capitalize the counterparty in case the market price of Enron stock drops and the balance sheet is weakened. </w:t>
      </w:r>
      <w:r>
        <w:rPr>
          <w:color w:val="FF00FF"/>
        </w:rPr>
        <w:t xml:space="preserve">The counterparty compensates Enron for the commitment to sell ENE stock on the contingent basis with a note payable, delivered at the inception of the transaction. </w:t>
      </w:r>
      <w:r>
        <w:rPr/>
        <w:t xml:space="preserve">The counterparty is prohibited from selling the shares or posting them as a collateral for another two years.  Also, the counterparty has agreed not to hedge its exposure to Enron shares.  </w:t>
      </w:r>
      <w:r>
        <w:rPr>
          <w:color w:val="FF00FF"/>
        </w:rPr>
        <w:t>This note briefly outlines the concept and the model of estimating the value of the contingency and of the restriction, using two separate models.  The first part involved valuing the contingent sale without the restriction on further disposal of the asset.  In the second part, we estimated the economic cost imposed on the counterparty as a result of encumbrance of the shar</w:t>
      </w:r>
      <w:r>
        <w:rPr/>
        <w:t>es.  The two components can be combined to arrive at the market value of the deal.  Our goal is to obtain a market-based estimate of the value for the entire deal.</w:t>
      </w:r>
    </w:p>
    <w:p>
      <w:pPr>
        <w:pStyle w:val="Normal"/>
        <w:jc w:val="both"/>
        <w:rPr/>
      </w:pPr>
      <w:r>
        <w:rPr/>
      </w:r>
    </w:p>
    <w:p>
      <w:pPr>
        <w:pStyle w:val="Heading1"/>
        <w:ind w:hanging="0" w:start="0"/>
        <w:jc w:val="both"/>
        <w:rPr/>
      </w:pPr>
      <w:r>
        <w:rPr/>
        <w:t>Conceptual Framework for Part I</w:t>
      </w:r>
    </w:p>
    <w:p>
      <w:pPr>
        <w:pStyle w:val="Normal"/>
        <w:jc w:val="both"/>
        <w:rPr/>
      </w:pPr>
      <w:r>
        <w:rPr/>
      </w:r>
    </w:p>
    <w:p>
      <w:pPr>
        <w:pStyle w:val="Normal"/>
        <w:jc w:val="both"/>
        <w:rPr/>
      </w:pPr>
      <w:r>
        <w:rPr/>
        <w:t xml:space="preserve">Enron Corp. made a contingent sale of 18 million shares to the counterparty to be delivered two years forward.  The delivery is contingent on the share price on the settlement date being below $75.89.  The interesting feature is that, although an larger number of shares is delivered as the price goes down to $50, the market value delivered (price*number delivered) is linearly increasing in price decline.  Based on payoff, the entire range of relevant prices (0-$75.89) can now be segmented into constant slope regions.  This payoff pattern was valued using two different methodologies.  First, we interpreted the deal as a portfolio of put options with different exercise prices and used the option pricing formula.  Next, we also valued the deal using the simulation approach.  The values turned out to be in close agreement. </w:t>
      </w:r>
      <w:r>
        <w:rPr>
          <w:color w:val="FF00FF"/>
        </w:rPr>
        <w:t>The value produced by the model was used to determine the face value of the note payable the counterparty gave to Enron in consideration for the commitment to execute the sale in the future under certain market conditions that were described above.</w:t>
      </w:r>
    </w:p>
    <w:p>
      <w:pPr>
        <w:pStyle w:val="Normal"/>
        <w:jc w:val="both"/>
        <w:rPr>
          <w:color w:val="FF00FF"/>
        </w:rPr>
      </w:pPr>
      <w:r>
        <w:rPr>
          <w:color w:val="FF00FF"/>
        </w:rPr>
      </w:r>
    </w:p>
    <w:p>
      <w:pPr>
        <w:pStyle w:val="Heading1"/>
        <w:ind w:hanging="0" w:start="0"/>
        <w:jc w:val="both"/>
        <w:rPr/>
      </w:pPr>
      <w:r>
        <w:rPr/>
        <w:t>Conceptual Framework for Part II</w:t>
      </w:r>
    </w:p>
    <w:p>
      <w:pPr>
        <w:pStyle w:val="Normal"/>
        <w:jc w:val="both"/>
        <w:rPr/>
      </w:pPr>
      <w:r>
        <w:rPr/>
      </w:r>
    </w:p>
    <w:p>
      <w:pPr>
        <w:pStyle w:val="Normal"/>
        <w:jc w:val="both"/>
        <w:rPr/>
      </w:pPr>
      <w:r>
        <w:rPr/>
        <w:t>The counterparty is restricted from selling, hedging, or pledging the shares it may receive for another two years. The entity would not be able to liquidate the shares to meet its ordinary or extraordinary liquidity needs by selling these shares or by posting them as collateral.  Also, as the counterparty is largely capitalized with ENE shares, a drop in ENE price will impair the credit capacity of the vehicle, and therefore its ability to meet the financial obligations and continue its business transactions.  If it were to actually control the ENE shares delivered, the entity could liquidate these shares and meet its obligations.  Alternatively, the number of shares could be dynamically adjusted through trading to keep the credit capacity from falling below a critical level.  As the entity will not actually control the shares for another two years after delivery, this transaction deprives the counterparty of the ability to take such defensive measures.  The counterparty’s explicit agreement not to hedge its exposure similarly increases its risk.  We capture the cost imposed on the counterparty – as it does not actually control the shares for another two years – by means of an American put option.</w:t>
      </w:r>
    </w:p>
    <w:p>
      <w:pPr>
        <w:pStyle w:val="Normal"/>
        <w:jc w:val="both"/>
        <w:rPr/>
      </w:pPr>
      <w:r>
        <w:rPr/>
      </w:r>
    </w:p>
    <w:p>
      <w:pPr>
        <w:pStyle w:val="Normal"/>
        <w:jc w:val="both"/>
        <w:rPr/>
      </w:pPr>
      <w:r>
        <w:rPr/>
        <w:t>The impact of the above restriction can be neutralized in the following manner.  On the date of the delivery of ENE shares (in March 2001), if the counterparty were to buy an American put option on a two-year forward contract on ENE stock with the exercise price set equal to the forward price, it could exercise the put option if liquidity is needed due to an adverse movement in the ENE stock price.  The American put allows the entity to do this at most once, over the next two years.  It would give the entity protection against extremely adverse stock price movements.  The protection can be likened to an insurance claim that can only be made once over two years while the sale restriction is in place.</w:t>
      </w:r>
    </w:p>
    <w:p>
      <w:pPr>
        <w:pStyle w:val="Normal"/>
        <w:jc w:val="both"/>
        <w:rPr/>
      </w:pPr>
      <w:r>
        <w:rPr/>
      </w:r>
    </w:p>
    <w:p>
      <w:pPr>
        <w:pStyle w:val="Normal"/>
        <w:jc w:val="both"/>
        <w:rPr/>
      </w:pPr>
      <w:r>
        <w:rPr/>
        <w:t>Consistent with the above model, we computed the premium for an at-the-money American put on a two-year forward contract on the delivered ENE shares and used it as the surrogate for the cost to the counterparty not actually controlling the shares for another two years.  As this premium is a constant percentage of the stock price of the settlement date, we discounted the value of the deal by the percentage factor.</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6"/>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u w:val="single"/>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ubtitle">
    <w:name w:val="Subtitle"/>
    <w:basedOn w:val="Normal"/>
    <w:next w:val="BodyText"/>
    <w:qFormat/>
    <w:pPr/>
    <w:rPr>
      <w:u w:val="single"/>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2001-05-29T11:08:00Z</dcterms:created>
  <dc:creator>rbharati</dc:creator>
  <dc:description/>
  <dc:language>en-CA</dc:language>
  <cp:lastModifiedBy>vkamins</cp:lastModifiedBy>
  <cp:lastPrinted>2001-05-29T08:38:00Z</cp:lastPrinted>
  <dcterms:modified xsi:type="dcterms:W3CDTF">2001-05-29T11:08:00Z</dcterms:modified>
  <cp:revision>2</cp:revision>
  <dc:subject/>
  <dc:title>Cost to Jedi due to forward delivery</dc:title>
</cp:coreProperties>
</file>