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sz w:val="24"/>
        </w:rPr>
        <w:t>TO:</w:t>
        <w:tab/>
        <w:tab/>
        <w:t>Distribution</w:t>
      </w:r>
    </w:p>
    <w:p>
      <w:pPr>
        <w:pStyle w:val="BodyText"/>
        <w:rPr>
          <w:sz w:val="24"/>
        </w:rPr>
      </w:pPr>
      <w:r>
        <w:rPr>
          <w:sz w:val="24"/>
        </w:rPr>
        <w:t>FROM:</w:t>
        <w:tab/>
        <w:t>Jim Steffes</w:t>
      </w:r>
    </w:p>
    <w:p>
      <w:pPr>
        <w:pStyle w:val="BodyText"/>
        <w:rPr>
          <w:sz w:val="24"/>
        </w:rPr>
      </w:pPr>
      <w:r>
        <w:rPr>
          <w:sz w:val="24"/>
        </w:rPr>
        <w:t>RE:</w:t>
        <w:tab/>
        <w:tab/>
        <w:t>Enron’s Regulatory Risk Positions</w:t>
      </w:r>
    </w:p>
    <w:p>
      <w:pPr>
        <w:pStyle w:val="BodyText"/>
        <w:rPr>
          <w:sz w:val="24"/>
        </w:rPr>
      </w:pPr>
      <w:r>
        <w:rPr>
          <w:sz w:val="24"/>
        </w:rPr>
        <w:t>DATE:</w:t>
        <w:tab/>
        <w:tab/>
        <w:t>April 17, 2000</w:t>
      </w:r>
    </w:p>
    <w:p>
      <w:pPr>
        <w:pStyle w:val="BodyText"/>
        <w:rPr>
          <w:sz w:val="24"/>
        </w:rPr>
      </w:pPr>
      <w:r>
        <w:rPr>
          <w:sz w:val="24"/>
        </w:rPr>
      </w:r>
    </w:p>
    <w:p>
      <w:pPr>
        <w:pStyle w:val="BodyText"/>
        <w:rPr/>
      </w:pPr>
      <w:r>
        <w:rPr>
          <w:sz w:val="24"/>
        </w:rPr>
        <w:t>Below is a list of Projects (Assets / Positions / Policies) which contain the “Top 20” Regulatory Risks facing Enron.</w:t>
      </w:r>
      <w:r>
        <w:rPr>
          <w:rStyle w:val="FootnoteCharacters"/>
          <w:rStyle w:val="FootnoteReference"/>
          <w:sz w:val="24"/>
        </w:rPr>
        <w:footnoteReference w:id="2"/>
      </w:r>
      <w:r>
        <w:rPr>
          <w:sz w:val="24"/>
        </w:rPr>
        <w:t xml:space="preserve">  It is the responsibility of Enron Government Affairs (“EGA”) to manage these Regulatory Risks.  My team (John Neslage and Gia Maisashvili) is responsible for assisting EGA with this management process.  </w:t>
      </w:r>
    </w:p>
    <w:p>
      <w:pPr>
        <w:pStyle w:val="BodyText"/>
        <w:rPr>
          <w:sz w:val="24"/>
        </w:rPr>
      </w:pPr>
      <w:r>
        <w:rPr>
          <w:sz w:val="24"/>
        </w:rPr>
      </w:r>
    </w:p>
    <w:p>
      <w:pPr>
        <w:pStyle w:val="BodyText"/>
        <w:rPr>
          <w:sz w:val="24"/>
        </w:rPr>
      </w:pPr>
      <w:r>
        <w:rPr>
          <w:sz w:val="24"/>
        </w:rPr>
        <w:t>To initiate this process, John Neslage, Gia Maisashvili, or I will be contacting you very soon to gather information on specific Regulatory Risks.  I have asked a member of the Regulatory Risk Working Group to help in this process.</w:t>
      </w:r>
    </w:p>
    <w:p>
      <w:pPr>
        <w:pStyle w:val="BodyText"/>
        <w:rPr>
          <w:sz w:val="24"/>
        </w:rPr>
      </w:pPr>
      <w:r>
        <w:rPr>
          <w:sz w:val="24"/>
        </w:rPr>
      </w:r>
    </w:p>
    <w:p>
      <w:pPr>
        <w:pStyle w:val="BodyText"/>
        <w:rPr>
          <w:sz w:val="24"/>
        </w:rPr>
      </w:pPr>
      <w:r>
        <w:rPr>
          <w:sz w:val="24"/>
        </w:rPr>
        <w:t>The end result of the efforts should be the creation of a Regulatory Risk matrix.  The matrix will contain, at a minimum, the following information related to each Project:</w:t>
      </w:r>
    </w:p>
    <w:p>
      <w:pPr>
        <w:pStyle w:val="Normal"/>
        <w:rPr>
          <w:sz w:val="24"/>
        </w:rPr>
      </w:pPr>
      <w:r>
        <w:rPr>
          <w:sz w:val="24"/>
        </w:rPr>
      </w:r>
    </w:p>
    <w:p>
      <w:pPr>
        <w:pStyle w:val="Normal"/>
        <w:numPr>
          <w:ilvl w:val="0"/>
          <w:numId w:val="2"/>
        </w:numPr>
        <w:rPr>
          <w:sz w:val="24"/>
        </w:rPr>
      </w:pPr>
      <w:r>
        <w:rPr>
          <w:sz w:val="24"/>
        </w:rPr>
        <w:t>Project description</w:t>
      </w:r>
    </w:p>
    <w:p>
      <w:pPr>
        <w:pStyle w:val="Normal"/>
        <w:numPr>
          <w:ilvl w:val="0"/>
          <w:numId w:val="2"/>
        </w:numPr>
        <w:rPr>
          <w:sz w:val="24"/>
        </w:rPr>
      </w:pPr>
      <w:r>
        <w:rPr>
          <w:sz w:val="24"/>
        </w:rPr>
        <w:t xml:space="preserve">List of Regulatory Risk(s) associated with the Project </w:t>
      </w:r>
    </w:p>
    <w:p>
      <w:pPr>
        <w:pStyle w:val="Normal"/>
        <w:numPr>
          <w:ilvl w:val="0"/>
          <w:numId w:val="2"/>
        </w:numPr>
        <w:rPr>
          <w:sz w:val="24"/>
        </w:rPr>
      </w:pPr>
      <w:r>
        <w:rPr>
          <w:sz w:val="24"/>
        </w:rPr>
        <w:t>Timing and Probability of occurrence for each Regulatory Risk</w:t>
      </w:r>
    </w:p>
    <w:p>
      <w:pPr>
        <w:pStyle w:val="Normal"/>
        <w:numPr>
          <w:ilvl w:val="0"/>
          <w:numId w:val="2"/>
        </w:numPr>
        <w:rPr>
          <w:sz w:val="24"/>
        </w:rPr>
      </w:pPr>
      <w:r>
        <w:rPr>
          <w:sz w:val="24"/>
        </w:rPr>
        <w:t>Dollar amount at risk for each Regulatory Risk</w:t>
      </w:r>
    </w:p>
    <w:p>
      <w:pPr>
        <w:pStyle w:val="Normal"/>
        <w:numPr>
          <w:ilvl w:val="0"/>
          <w:numId w:val="2"/>
        </w:numPr>
        <w:rPr>
          <w:sz w:val="24"/>
        </w:rPr>
      </w:pPr>
      <w:r>
        <w:rPr>
          <w:sz w:val="24"/>
        </w:rPr>
        <w:t>Proposed Mitigation Plan(s).</w:t>
      </w:r>
    </w:p>
    <w:p>
      <w:pPr>
        <w:pStyle w:val="Normal"/>
        <w:rPr>
          <w:sz w:val="24"/>
        </w:rPr>
      </w:pPr>
      <w:r>
        <w:rPr>
          <w:sz w:val="24"/>
        </w:rPr>
      </w:r>
    </w:p>
    <w:p>
      <w:pPr>
        <w:pStyle w:val="BodyText2"/>
        <w:rPr/>
      </w:pPr>
      <w:r>
        <w:rPr/>
        <w:t xml:space="preserve">We are hoping to have the Regulatory Risk matrix for the “Top 20” completed by June 1, 2000.  After that time, we will continue to work with EGA to perform a Regulatory Risk review for all of Enron’s Projects.  Your cooperation with this process is crucial for its success.  </w:t>
      </w:r>
    </w:p>
    <w:p>
      <w:pPr>
        <w:pStyle w:val="BodyText2"/>
        <w:rPr/>
      </w:pPr>
      <w:r>
        <w:rPr/>
      </w:r>
    </w:p>
    <w:p>
      <w:pPr>
        <w:pStyle w:val="BodyText2"/>
        <w:rPr/>
      </w:pPr>
      <w:r>
        <w:rPr/>
        <w:t>If anyone has any questions, please feel free to call me at 713-853-7673.</w:t>
      </w:r>
    </w:p>
    <w:p>
      <w:pPr>
        <w:pStyle w:val="Normal"/>
        <w:rPr>
          <w:sz w:val="24"/>
        </w:rPr>
      </w:pPr>
      <w:r>
        <w:rPr>
          <w:sz w:val="24"/>
        </w:rPr>
      </w:r>
    </w:p>
    <w:p>
      <w:pPr>
        <w:pStyle w:val="Normal"/>
        <w:rPr>
          <w:sz w:val="24"/>
        </w:rPr>
      </w:pPr>
      <w:r>
        <w:rPr>
          <w:sz w:val="24"/>
        </w:rPr>
        <w:t>Thanks in advance,</w:t>
      </w:r>
    </w:p>
    <w:p>
      <w:pPr>
        <w:pStyle w:val="Normal"/>
        <w:rPr>
          <w:sz w:val="24"/>
        </w:rPr>
      </w:pPr>
      <w:r>
        <w:rPr>
          <w:sz w:val="24"/>
        </w:rPr>
      </w:r>
    </w:p>
    <w:p>
      <w:pPr>
        <w:pStyle w:val="Normal"/>
        <w:rPr>
          <w:sz w:val="24"/>
        </w:rPr>
      </w:pPr>
      <w:r>
        <w:rPr>
          <w:sz w:val="24"/>
        </w:rPr>
        <w:t>Jim Steffes</w:t>
      </w:r>
      <w:r>
        <w:br w:type="page"/>
      </w:r>
    </w:p>
    <w:p>
      <w:pPr>
        <w:pStyle w:val="Normal"/>
        <w:rPr>
          <w:sz w:val="24"/>
        </w:rPr>
      </w:pPr>
      <w:r>
        <w:rPr>
          <w:sz w:val="24"/>
        </w:rPr>
      </w:r>
    </w:p>
    <w:tbl>
      <w:tblPr>
        <w:tblW w:w="10584" w:type="dxa"/>
        <w:jc w:val="start"/>
        <w:tblInd w:w="0" w:type="dxa"/>
        <w:tblLayout w:type="fixed"/>
        <w:tblCellMar>
          <w:top w:w="0" w:type="dxa"/>
          <w:start w:w="108" w:type="dxa"/>
          <w:bottom w:w="0" w:type="dxa"/>
          <w:end w:w="108" w:type="dxa"/>
        </w:tblCellMar>
      </w:tblPr>
      <w:tblGrid>
        <w:gridCol w:w="720"/>
        <w:gridCol w:w="4032"/>
        <w:gridCol w:w="1944"/>
        <w:gridCol w:w="1944"/>
        <w:gridCol w:w="1944"/>
      </w:tblGrid>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snapToGrid w:val="false"/>
              <w:spacing w:lineRule="atLeast" w:line="240"/>
              <w:jc w:val="center"/>
              <w:rPr>
                <w:b/>
                <w:color w:val="000000"/>
              </w:rPr>
            </w:pPr>
            <w:r>
              <w:rPr>
                <w:b/>
                <w:color w:val="000000"/>
              </w:rPr>
            </w:r>
          </w:p>
        </w:tc>
        <w:tc>
          <w:tcPr>
            <w:tcW w:w="4032" w:type="dxa"/>
            <w:tcBorders>
              <w:top w:val="single" w:sz="4" w:space="0" w:color="000000"/>
              <w:start w:val="single" w:sz="4" w:space="0" w:color="000000"/>
              <w:bottom w:val="single" w:sz="4" w:space="0" w:color="000000"/>
              <w:end w:val="single" w:sz="4" w:space="0" w:color="000000"/>
            </w:tcBorders>
            <w:vAlign w:val="bottom"/>
          </w:tcPr>
          <w:p>
            <w:pPr>
              <w:pStyle w:val="Normal"/>
              <w:keepNext w:val="true"/>
              <w:spacing w:lineRule="atLeast" w:line="240"/>
              <w:jc w:val="center"/>
              <w:rPr>
                <w:b/>
                <w:color w:val="000000"/>
              </w:rPr>
            </w:pPr>
            <w:r>
              <w:rPr>
                <w:b/>
                <w:color w:val="000000"/>
              </w:rPr>
              <w:t>Project</w:t>
            </w:r>
          </w:p>
          <w:p>
            <w:pPr>
              <w:pStyle w:val="Normal"/>
              <w:spacing w:lineRule="atLeast" w:line="240"/>
              <w:jc w:val="center"/>
              <w:rPr>
                <w:b/>
                <w:color w:val="000000"/>
              </w:rPr>
            </w:pPr>
            <w:r>
              <w:rPr>
                <w:b/>
                <w:color w:val="000000"/>
              </w:rPr>
            </w:r>
          </w:p>
        </w:tc>
        <w:tc>
          <w:tcPr>
            <w:tcW w:w="1944"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imes New Roman" w:hAnsi="Times New Roman" w:cs="Times New Roman"/>
              </w:rPr>
            </w:pPr>
            <w:r>
              <w:rPr>
                <w:rFonts w:cs="Times New Roman" w:ascii="Times New Roman" w:hAnsi="Times New Roman"/>
              </w:rPr>
              <w:t>Government Affairs Responsible Person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color w:val="000000"/>
              </w:rPr>
            </w:pPr>
            <w:r>
              <w:rPr>
                <w:b/>
                <w:color w:val="000000"/>
              </w:rPr>
              <w:t>Regulatory Risk Working Group</w:t>
            </w:r>
          </w:p>
          <w:p>
            <w:pPr>
              <w:pStyle w:val="Normal"/>
              <w:spacing w:lineRule="atLeast" w:line="240"/>
              <w:jc w:val="center"/>
              <w:rPr>
                <w:b/>
                <w:color w:val="000000"/>
              </w:rPr>
            </w:pPr>
            <w:r>
              <w:rPr>
                <w:b/>
                <w:color w:val="000000"/>
              </w:rPr>
              <w:t>Team Member</w:t>
            </w:r>
          </w:p>
        </w:tc>
        <w:tc>
          <w:tcPr>
            <w:tcW w:w="1944"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imes New Roman" w:hAnsi="Times New Roman" w:cs="Times New Roman"/>
              </w:rPr>
            </w:pPr>
            <w:r>
              <w:rPr>
                <w:rFonts w:cs="Times New Roman" w:ascii="Times New Roman" w:hAnsi="Times New Roman"/>
              </w:rPr>
              <w:t xml:space="preserve">Regulatory Risk Analytics </w:t>
            </w:r>
          </w:p>
          <w:p>
            <w:pPr>
              <w:pStyle w:val="Heading1"/>
              <w:ind w:hanging="0" w:start="0"/>
              <w:rPr>
                <w:rFonts w:ascii="Times New Roman" w:hAnsi="Times New Roman" w:cs="Times New Roman"/>
              </w:rPr>
            </w:pPr>
            <w:r>
              <w:rPr>
                <w:rFonts w:cs="Times New Roman" w:ascii="Times New Roman" w:hAnsi="Times New Roman"/>
              </w:rPr>
              <w:t>Team Member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Commodity Sales and Services – Bandwidth</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Donald Lassere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David Merrill</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EBS Network Regulation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Scott Bolton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David Merrill</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BLM / USFS ROW Fee Increase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Scott Bolton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David Merrill</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4</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South Korea SK</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Mike Dalhke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5</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SECLEP</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Amr Ibrahim</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Hardy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6</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Bahia Las Minas Power (EGEMINSA)</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Amr Ibrahim</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Luiz Maurer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rHeight w:val="251" w:hRule="atLeast"/>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7</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Haine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Amr Ibrahim</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Luiz Maurer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8</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Calife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Alberto Levy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Luiz Maurer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9</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Dabhol Phase 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Jane Wilson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Hardy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10</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Dabhol Phase II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Jane Wilson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Hardy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11</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Elektro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Sergio Assad</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Harry Kingerski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rHeight w:val="251" w:hRule="atLeast"/>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12</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Bolivia-Brazil Pipeline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Mike Smith</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13</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Cuiaba Phase 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Jose Bestard</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14</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Cuiaba Phase II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Jose Bestard</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15</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South America Fiber Optic Network</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Jose Bestard</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16</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Cuiaba Pipeline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Mike Smith</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17</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TGS Pipeline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Mike Smith</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18</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Transredes Pipeline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Ray Alvarez</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19</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Trakya Elektrik</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Paul Kaufman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20</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Nowa Sarzyna</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Phil Davies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Paul Kaufman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21</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Commodity Sales and Service – Europe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Joe Hartsoe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22</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 xml:space="preserve">Teesside </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Paul Kaufman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23</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Sarus Refinery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24</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EPMI Control Areas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Joe Hartsoe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Janine Midgen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25</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OTC Derivatives Regulations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Cynthia Sandherr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Janine Midgen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26</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Trade Sanctions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Chris Long</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Hardy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27</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Commodity Sales and Services - EES</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Harry Kingerski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Pat Keene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28</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PG&amp;E CTC Roll-Off</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Mona Petrochko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Harry Kingerski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29</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Commodity Sales and Services - ENA West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Joe Hartsoe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30</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Commodity Sales and Services - ENA East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Joe Hartsoe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Fiona Grant</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Jim Steffes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31</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MTBE Liability Protection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Jeff Keeler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Palmisano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John Neslage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32</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Project Independence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Howard Fromer</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Steve Montovano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33</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Duke New Smyrna Beach Gas Supply</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Marchris Robinson</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Steve Montovano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color w:val="000000"/>
              </w:rPr>
            </w:pPr>
            <w:r>
              <w:rPr>
                <w:color w:val="000000"/>
              </w:rPr>
              <w:t>34</w:t>
            </w:r>
          </w:p>
        </w:tc>
        <w:tc>
          <w:tcPr>
            <w:tcW w:w="403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United Illuminating Standard Offer  Service</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Dan Allegretti</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Steve Montovano</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rPr>
            </w:pPr>
            <w:r>
              <w:rPr>
                <w:color w:val="000000"/>
              </w:rPr>
              <w:t>Gia Maisashvili</w:t>
            </w:r>
          </w:p>
        </w:tc>
      </w:tr>
    </w:tbl>
    <w:p>
      <w:pPr>
        <w:pStyle w:val="Normal"/>
        <w:spacing w:lineRule="atLeast" w:line="240"/>
        <w:ind w:start="360" w:end="0"/>
        <w:rPr>
          <w:rFonts w:ascii="Arial" w:hAnsi="Arial" w:cs="Arial"/>
          <w:color w:val="000000"/>
          <w:sz w:val="24"/>
        </w:rPr>
      </w:pPr>
      <w:r>
        <w:rPr>
          <w:rFonts w:cs="Arial" w:ascii="Arial" w:hAnsi="Arial"/>
          <w:color w:val="000000"/>
          <w:sz w:val="24"/>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This list is the work product of many people within EGA.  If anyone believes that other Projects contain significant Regulatory Risk and should be included on the Top 20 list, please contact me.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Tms Rmn" w:hAnsi="Tms Rmn" w:cs="Tms Rmn"/>
      <w:b/>
      <w:color w:val="000000"/>
      <w:lang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2000-04-17T20:12:00Z</dcterms:created>
  <dc:creator>EI</dc:creator>
  <dc:description/>
  <dc:language>en-CA</dc:language>
  <cp:lastModifiedBy>jsteffe</cp:lastModifiedBy>
  <cp:lastPrinted>2000-04-18T08:41:00Z</cp:lastPrinted>
  <dcterms:modified xsi:type="dcterms:W3CDTF">2000-04-18T18:32:00Z</dcterms:modified>
  <cp:revision>5</cp:revision>
  <dc:subject/>
  <dc:title>To follow up on Steve Kean’s introductory letter regarding regulatory risk analysis, we would to like to provide the framework for this process</dc:title>
</cp:coreProperties>
</file>