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185" w:type="dxa"/>
        <w:jc w:val="start"/>
        <w:tblInd w:w="0" w:type="dxa"/>
        <w:tblLayout w:type="fixed"/>
        <w:tblCellMar>
          <w:top w:w="0" w:type="dxa"/>
          <w:start w:w="108" w:type="dxa"/>
          <w:bottom w:w="0" w:type="dxa"/>
          <w:end w:w="108" w:type="dxa"/>
        </w:tblCellMar>
      </w:tblPr>
      <w:tblGrid>
        <w:gridCol w:w="1247"/>
        <w:gridCol w:w="3681"/>
        <w:gridCol w:w="855"/>
        <w:gridCol w:w="3402"/>
      </w:tblGrid>
      <w:tr>
        <w:trPr>
          <w:trHeight w:val="709" w:hRule="atLeast"/>
        </w:trPr>
        <w:tc>
          <w:tcPr>
            <w:tcW w:w="1247" w:type="dxa"/>
            <w:tcBorders/>
          </w:tcPr>
          <w:p>
            <w:pPr>
              <w:pStyle w:val="Normal"/>
              <w:jc w:val="both"/>
              <w:rPr>
                <w:sz w:val="24"/>
                <w:lang w:val="en-CA"/>
              </w:rPr>
            </w:pPr>
            <w:r>
              <w:rPr>
                <w:sz w:val="24"/>
                <w:lang w:val="en-CA"/>
              </w:rPr>
              <w:t>To:</w:t>
            </w:r>
          </w:p>
        </w:tc>
        <w:tc>
          <w:tcPr>
            <w:tcW w:w="3681" w:type="dxa"/>
            <w:tcBorders/>
          </w:tcPr>
          <w:p>
            <w:pPr>
              <w:pStyle w:val="Normal"/>
              <w:jc w:val="both"/>
              <w:rPr>
                <w:sz w:val="24"/>
                <w:lang w:val="en-CA"/>
              </w:rPr>
            </w:pPr>
            <w:bookmarkStart w:id="0" w:name="to"/>
            <w:bookmarkEnd w:id="0"/>
            <w:r>
              <w:rPr>
                <w:sz w:val="24"/>
                <w:lang w:val="en-CA"/>
              </w:rPr>
              <w:t>Kate Rodin, Statkraft</w:t>
            </w:r>
          </w:p>
          <w:p>
            <w:pPr>
              <w:pStyle w:val="Normal"/>
              <w:jc w:val="both"/>
              <w:rPr>
                <w:sz w:val="24"/>
                <w:lang w:val="en-CA"/>
              </w:rPr>
            </w:pPr>
            <w:r>
              <w:rPr>
                <w:sz w:val="24"/>
                <w:lang w:val="en-CA"/>
              </w:rPr>
              <w:t>Johan Erlandsson, Sydkraft</w:t>
            </w:r>
          </w:p>
          <w:p>
            <w:pPr>
              <w:pStyle w:val="Normal"/>
              <w:jc w:val="both"/>
              <w:rPr>
                <w:sz w:val="24"/>
                <w:lang w:val="en-CA"/>
              </w:rPr>
            </w:pPr>
            <w:r>
              <w:rPr>
                <w:sz w:val="24"/>
                <w:lang w:val="en-CA"/>
              </w:rPr>
              <w:t>Ted Morris, National Power</w:t>
            </w:r>
          </w:p>
          <w:p>
            <w:pPr>
              <w:pStyle w:val="Normal"/>
              <w:jc w:val="both"/>
              <w:rPr>
                <w:sz w:val="24"/>
                <w:lang w:val="en-CA"/>
              </w:rPr>
            </w:pPr>
            <w:r>
              <w:rPr>
                <w:sz w:val="24"/>
                <w:lang w:val="en-CA"/>
              </w:rPr>
              <w:t>John Wood, Eastern Electricity</w:t>
            </w:r>
          </w:p>
          <w:p>
            <w:pPr>
              <w:pStyle w:val="Normal"/>
              <w:jc w:val="both"/>
              <w:rPr>
                <w:sz w:val="24"/>
                <w:lang w:val="en-CA"/>
              </w:rPr>
            </w:pPr>
            <w:r>
              <w:rPr>
                <w:sz w:val="24"/>
                <w:lang w:val="en-CA"/>
              </w:rPr>
              <w:t>Annette Kavaleff, Fortum</w:t>
            </w:r>
          </w:p>
          <w:p>
            <w:pPr>
              <w:pStyle w:val="Normal"/>
              <w:jc w:val="both"/>
              <w:rPr>
                <w:sz w:val="24"/>
                <w:lang w:val="en-CA"/>
              </w:rPr>
            </w:pPr>
            <w:r>
              <w:rPr>
                <w:sz w:val="24"/>
                <w:lang w:val="en-CA"/>
              </w:rPr>
              <w:t>Ruby Melton, Louis Dreyfuss</w:t>
            </w:r>
          </w:p>
          <w:p>
            <w:pPr>
              <w:pStyle w:val="Normal"/>
              <w:jc w:val="both"/>
              <w:rPr>
                <w:sz w:val="24"/>
                <w:lang w:val="en-CA"/>
              </w:rPr>
            </w:pPr>
            <w:r>
              <w:rPr>
                <w:sz w:val="24"/>
                <w:lang w:val="en-CA"/>
              </w:rPr>
              <w:t>Yehuda Cohen, Dynegy</w:t>
            </w:r>
          </w:p>
          <w:p>
            <w:pPr>
              <w:pStyle w:val="Normal"/>
              <w:jc w:val="both"/>
              <w:rPr>
                <w:sz w:val="24"/>
                <w:lang w:val="en-CA"/>
              </w:rPr>
            </w:pPr>
            <w:r>
              <w:rPr>
                <w:sz w:val="24"/>
                <w:lang w:val="en-CA"/>
              </w:rPr>
              <w:t>Åsa Engström, Asea Brown Boveri</w:t>
            </w:r>
          </w:p>
          <w:p>
            <w:pPr>
              <w:pStyle w:val="Normal"/>
              <w:jc w:val="both"/>
              <w:rPr>
                <w:sz w:val="24"/>
                <w:lang w:val="en-CA"/>
              </w:rPr>
            </w:pPr>
            <w:r>
              <w:rPr>
                <w:sz w:val="24"/>
                <w:lang w:val="en-CA"/>
              </w:rPr>
              <w:t>Kristo Katmeridis, Tractebel</w:t>
            </w:r>
          </w:p>
          <w:p>
            <w:pPr>
              <w:pStyle w:val="Heading1"/>
              <w:ind w:hanging="0" w:start="0"/>
              <w:rPr>
                <w:lang w:val="en-CA" w:eastAsia="en-CA"/>
              </w:rPr>
            </w:pPr>
            <w:r>
              <w:rPr>
                <w:lang w:val="en-CA" w:eastAsia="en-CA"/>
              </w:rPr>
              <w:t>Stein-Ove Solberg, Elkem</w:t>
            </w:r>
          </w:p>
          <w:p>
            <w:pPr>
              <w:pStyle w:val="Heading1"/>
              <w:ind w:hanging="0" w:start="0"/>
              <w:rPr>
                <w:lang w:val="en-CA" w:eastAsia="en-CA"/>
              </w:rPr>
            </w:pPr>
            <w:r>
              <w:rPr>
                <w:lang w:val="en-CA" w:eastAsia="en-CA"/>
              </w:rPr>
              <w:t>Tove Cederborg, Vattenfall</w:t>
            </w:r>
          </w:p>
        </w:tc>
        <w:tc>
          <w:tcPr>
            <w:tcW w:w="855" w:type="dxa"/>
            <w:tcBorders/>
          </w:tcPr>
          <w:p>
            <w:pPr>
              <w:pStyle w:val="Normal"/>
              <w:jc w:val="both"/>
              <w:rPr>
                <w:sz w:val="24"/>
                <w:lang w:val="en-CA"/>
              </w:rPr>
            </w:pPr>
            <w:r>
              <w:rPr>
                <w:sz w:val="24"/>
                <w:lang w:val="en-CA"/>
              </w:rPr>
              <w:t>From:</w:t>
            </w:r>
          </w:p>
        </w:tc>
        <w:tc>
          <w:tcPr>
            <w:tcW w:w="3402" w:type="dxa"/>
            <w:tcBorders/>
          </w:tcPr>
          <w:p>
            <w:pPr>
              <w:pStyle w:val="Normal"/>
              <w:jc w:val="both"/>
              <w:rPr>
                <w:sz w:val="24"/>
                <w:lang w:val="en-CA"/>
              </w:rPr>
            </w:pPr>
            <w:bookmarkStart w:id="1" w:name="from"/>
            <w:bookmarkEnd w:id="1"/>
            <w:r>
              <w:rPr>
                <w:sz w:val="24"/>
                <w:lang w:val="en-CA"/>
              </w:rPr>
              <w:t>Martin Rosell</w:t>
            </w:r>
          </w:p>
        </w:tc>
      </w:tr>
      <w:tr>
        <w:trPr>
          <w:trHeight w:val="436" w:hRule="atLeast"/>
        </w:trPr>
        <w:tc>
          <w:tcPr>
            <w:tcW w:w="1247" w:type="dxa"/>
            <w:tcBorders/>
          </w:tcPr>
          <w:p>
            <w:pPr>
              <w:pStyle w:val="Normal"/>
              <w:snapToGrid w:val="false"/>
              <w:jc w:val="both"/>
              <w:rPr>
                <w:sz w:val="24"/>
                <w:lang w:val="en-CA"/>
              </w:rPr>
            </w:pPr>
            <w:r>
              <w:rPr>
                <w:sz w:val="24"/>
                <w:lang w:val="en-CA"/>
              </w:rPr>
            </w:r>
          </w:p>
        </w:tc>
        <w:tc>
          <w:tcPr>
            <w:tcW w:w="3681" w:type="dxa"/>
            <w:tcBorders/>
          </w:tcPr>
          <w:p>
            <w:pPr>
              <w:pStyle w:val="Normal"/>
              <w:snapToGrid w:val="false"/>
              <w:jc w:val="both"/>
              <w:rPr>
                <w:sz w:val="24"/>
                <w:lang w:val="en-CA"/>
              </w:rPr>
            </w:pPr>
            <w:r>
              <w:rPr>
                <w:sz w:val="24"/>
                <w:lang w:val="en-CA"/>
              </w:rPr>
            </w:r>
          </w:p>
        </w:tc>
        <w:tc>
          <w:tcPr>
            <w:tcW w:w="855" w:type="dxa"/>
            <w:tcBorders/>
          </w:tcPr>
          <w:p>
            <w:pPr>
              <w:pStyle w:val="Normal"/>
              <w:jc w:val="both"/>
              <w:rPr>
                <w:sz w:val="24"/>
                <w:lang w:val="en-CA"/>
              </w:rPr>
            </w:pPr>
            <w:r>
              <w:rPr>
                <w:sz w:val="24"/>
                <w:lang w:val="en-CA"/>
              </w:rPr>
              <w:t>Date:</w:t>
            </w:r>
          </w:p>
        </w:tc>
        <w:tc>
          <w:tcPr>
            <w:tcW w:w="3402" w:type="dxa"/>
            <w:tcBorders/>
          </w:tcPr>
          <w:p>
            <w:pPr>
              <w:pStyle w:val="Normal"/>
              <w:jc w:val="both"/>
              <w:rPr>
                <w:sz w:val="24"/>
                <w:lang w:val="en-CA"/>
              </w:rPr>
            </w:pPr>
            <w:bookmarkStart w:id="2" w:name="Dater"/>
            <w:bookmarkStart w:id="3" w:name="Inext"/>
            <w:bookmarkEnd w:id="2"/>
            <w:bookmarkEnd w:id="3"/>
            <w:r>
              <w:rPr>
                <w:sz w:val="24"/>
                <w:lang w:val="en-CA"/>
              </w:rPr>
              <w:t>6 December 1999</w:t>
            </w:r>
          </w:p>
          <w:p>
            <w:pPr>
              <w:pStyle w:val="Normal"/>
              <w:jc w:val="both"/>
              <w:rPr>
                <w:sz w:val="24"/>
                <w:lang w:val="en-CA"/>
              </w:rPr>
            </w:pPr>
            <w:r>
              <w:rPr>
                <w:sz w:val="24"/>
                <w:lang w:val="en-CA"/>
              </w:rPr>
            </w:r>
          </w:p>
        </w:tc>
      </w:tr>
    </w:tbl>
    <w:p>
      <w:pPr>
        <w:pStyle w:val="Normal"/>
        <w:rPr>
          <w:lang w:val="en-CA"/>
        </w:rPr>
      </w:pPr>
      <w:r>
        <w:rPr>
          <w:lang w:val="en-CA"/>
        </w:rPr>
      </w:r>
    </w:p>
    <w:p>
      <w:pPr>
        <w:pStyle w:val="Heading3"/>
        <w:ind w:hanging="0" w:start="0"/>
        <w:rPr>
          <w:lang w:val="en-CA"/>
        </w:rPr>
      </w:pPr>
      <w:r>
        <w:rPr>
          <w:lang w:val="en-CA"/>
        </w:rPr>
        <w:t xml:space="preserve">Nordic Power Documentation Project </w:t>
      </w:r>
    </w:p>
    <w:p>
      <w:pPr>
        <w:pStyle w:val="Normal"/>
        <w:jc w:val="both"/>
        <w:rPr>
          <w:sz w:val="24"/>
          <w:lang w:val="en-CA"/>
        </w:rPr>
      </w:pPr>
      <w:r>
        <w:rPr>
          <w:sz w:val="24"/>
          <w:lang w:val="en-CA"/>
        </w:rPr>
      </w:r>
    </w:p>
    <w:p>
      <w:pPr>
        <w:pStyle w:val="BodyText2"/>
        <w:rPr>
          <w:lang w:val="en-CA"/>
        </w:rPr>
      </w:pPr>
      <w:r>
        <w:rPr>
          <w:lang w:val="en-CA"/>
        </w:rPr>
        <w:t xml:space="preserve">As most of you probably are aware of, it was decided at the meeting of the Nordic Association of Electricity Traders of 11 November 1999 that its members should be given until Christmas to submit comments on the new draft documentation, dated 29 October 1999.  According to the minutes of the said meeting, such comments are to be submitted to me and Johan Erlandsson.  The members are then expected to vote on whether the Association shall promote the new documentation at the next meeting of the Association scheduled for February next year. </w:t>
      </w:r>
    </w:p>
    <w:p>
      <w:pPr>
        <w:pStyle w:val="BodyText2"/>
        <w:rPr>
          <w:lang w:val="en-CA"/>
        </w:rPr>
      </w:pPr>
      <w:r>
        <w:rPr>
          <w:lang w:val="en-CA"/>
        </w:rPr>
      </w:r>
    </w:p>
    <w:p>
      <w:pPr>
        <w:pStyle w:val="BodyText2"/>
        <w:rPr/>
      </w:pPr>
      <w:r>
        <w:rPr>
          <w:color w:val="000000"/>
          <w:lang w:val="en-CA"/>
        </w:rPr>
        <w:t xml:space="preserve">The current draft of the Financial Energy Master Agreement represents the culmination of the efforts by the former Working Group.  Many compromises were made in creating this contract and it is not necessarily everyone’s ideal agreement.  Nevertheless, the contract represents a major leap forward from the existing  documentation of the </w:t>
      </w:r>
      <w:r>
        <w:rPr>
          <w:lang w:val="en-CA"/>
        </w:rPr>
        <w:t xml:space="preserve">Nordic Association of Electricity Traders </w:t>
      </w:r>
      <w:r>
        <w:rPr>
          <w:color w:val="000000"/>
          <w:lang w:val="en-CA"/>
        </w:rPr>
        <w:t>and should be a workable tool that hopefully will benefit the Nordic as well as other energy markets.</w:t>
      </w:r>
    </w:p>
    <w:p>
      <w:pPr>
        <w:pStyle w:val="BodyText2"/>
        <w:rPr>
          <w:color w:val="000000"/>
          <w:lang w:val="en-CA"/>
        </w:rPr>
      </w:pPr>
      <w:r>
        <w:rPr>
          <w:color w:val="000000"/>
          <w:lang w:val="en-CA"/>
        </w:rPr>
      </w:r>
    </w:p>
    <w:p>
      <w:pPr>
        <w:pStyle w:val="BodyText2"/>
        <w:rPr>
          <w:lang w:val="en-CA"/>
        </w:rPr>
      </w:pPr>
      <w:r>
        <w:rPr>
          <w:lang w:val="en-CA"/>
        </w:rPr>
        <w:t xml:space="preserve">Since you have shown a particular interest in the project, I think it may be valuable to continue discussions within this group of lawyers with the overall aim of finalising the new documentation early next year.  Therefore, if you have any further comments on the new documentation, please circulate them via </w:t>
      </w:r>
      <w:r>
        <w:rPr>
          <w:u w:val="single"/>
          <w:lang w:val="en-CA"/>
        </w:rPr>
        <w:t>e-mail</w:t>
      </w:r>
      <w:r>
        <w:rPr>
          <w:lang w:val="en-CA"/>
        </w:rPr>
        <w:t xml:space="preserve">, in </w:t>
      </w:r>
      <w:r>
        <w:rPr>
          <w:u w:val="single"/>
          <w:lang w:val="en-CA"/>
        </w:rPr>
        <w:t>English</w:t>
      </w:r>
      <w:r>
        <w:rPr>
          <w:lang w:val="en-CA"/>
        </w:rPr>
        <w:t xml:space="preserve"> and in a </w:t>
      </w:r>
      <w:r>
        <w:rPr>
          <w:u w:val="single"/>
          <w:lang w:val="en-CA"/>
        </w:rPr>
        <w:t>Word file format</w:t>
      </w:r>
      <w:r>
        <w:rPr>
          <w:lang w:val="en-CA"/>
        </w:rPr>
        <w:t xml:space="preserve"> among the addressees to this note as early as possible and not later than by the close of business on </w:t>
      </w:r>
      <w:r>
        <w:rPr>
          <w:u w:val="single"/>
          <w:lang w:val="en-CA"/>
        </w:rPr>
        <w:t>23 December 1999</w:t>
      </w:r>
      <w:r>
        <w:rPr>
          <w:lang w:val="en-CA"/>
        </w:rPr>
        <w:t xml:space="preserve">.  </w:t>
      </w:r>
      <w:r>
        <w:rPr>
          <w:color w:val="000000"/>
          <w:lang w:val="en-CA"/>
        </w:rPr>
        <w:t>For your convenience, a clean version of the latest draft of the new documentation together with the draft General Description are attached.</w:t>
      </w:r>
    </w:p>
    <w:p>
      <w:pPr>
        <w:pStyle w:val="BodyTextIndent2"/>
        <w:ind w:hanging="0" w:start="0" w:end="0"/>
        <w:rPr>
          <w:lang w:val="en-CA"/>
        </w:rPr>
      </w:pPr>
      <w:r>
        <w:rPr>
          <w:lang w:val="en-CA"/>
        </w:rPr>
      </w:r>
    </w:p>
    <w:p>
      <w:pPr>
        <w:pStyle w:val="BodyTextIndent2"/>
        <w:ind w:hanging="4" w:start="0" w:end="0"/>
        <w:rPr>
          <w:color w:val="000000"/>
          <w:lang w:val="en-CA"/>
        </w:rPr>
      </w:pPr>
      <w:r>
        <w:rPr>
          <w:color w:val="000000"/>
          <w:lang w:val="en-CA"/>
        </w:rPr>
        <w:t xml:space="preserve">Please also let me know whether you are willing, or confirm your earlier expressed willingness, to participate in the funding of law firm opinions on the new documentation.  The jurisdictions currently considered for legal opinions are Norway, Sweden Finland, Denmark, Germany and England.  Also other jurisdictions may come into question.  A form of legal opinion will be prepared and circulated by me for your consideration in due course. </w:t>
      </w:r>
    </w:p>
    <w:p>
      <w:pPr>
        <w:pStyle w:val="BodyTextIndent2"/>
        <w:ind w:hanging="4" w:start="0" w:end="0"/>
        <w:rPr>
          <w:color w:val="000000"/>
          <w:lang w:val="en-CA"/>
        </w:rPr>
      </w:pPr>
      <w:r>
        <w:rPr>
          <w:color w:val="000000"/>
          <w:lang w:val="en-CA"/>
        </w:rPr>
      </w:r>
    </w:p>
    <w:p>
      <w:pPr>
        <w:pStyle w:val="BodyTextIndent2"/>
        <w:ind w:hanging="4" w:start="0" w:end="0"/>
        <w:rPr>
          <w:color w:val="000000"/>
          <w:lang w:val="en-CA"/>
        </w:rPr>
      </w:pPr>
      <w:r>
        <w:rPr>
          <w:color w:val="000000"/>
          <w:lang w:val="en-CA"/>
        </w:rPr>
        <w:t>Feel free to contact me if you have any questions.</w:t>
      </w:r>
    </w:p>
    <w:p>
      <w:pPr>
        <w:pStyle w:val="BodyTextIndent2"/>
        <w:rPr>
          <w:color w:val="000000"/>
          <w:lang w:val="en-CA"/>
        </w:rPr>
      </w:pPr>
      <w:r>
        <w:rPr>
          <w:color w:val="000000"/>
          <w:lang w:val="en-CA"/>
        </w:rPr>
      </w:r>
    </w:p>
    <w:p>
      <w:pPr>
        <w:pStyle w:val="Normal"/>
        <w:jc w:val="center"/>
        <w:rPr>
          <w:sz w:val="24"/>
          <w:u w:val="single"/>
          <w:lang w:val="en-CA"/>
        </w:rPr>
      </w:pPr>
      <w:r>
        <w:rPr>
          <w:sz w:val="24"/>
          <w:u w:val="single"/>
          <w:lang w:val="en-CA"/>
        </w:rPr>
        <w:tab/>
        <w:tab/>
        <w:tab/>
        <w:tab/>
        <w:tab/>
      </w:r>
    </w:p>
    <w:sectPr>
      <w:headerReference w:type="default" r:id="rId2"/>
      <w:headerReference w:type="first" r:id="rId3"/>
      <w:type w:val="nextPage"/>
      <w:pgSz w:w="11906" w:h="16838"/>
      <w:pgMar w:left="1800" w:right="180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rPr/>
    </w:pPr>
    <w:r>
      <w:rPr/>
    </w:r>
    <w:r>
      <mc:AlternateContent>
        <mc:Choice Requires="wps">
          <w:drawing>
            <wp:anchor behindDoc="0" distT="0" distB="0" distL="0" distR="0" simplePos="0" locked="0" layoutInCell="1" allowOverlap="1" relativeHeight="0">
              <wp:simplePos x="0" y="0"/>
              <wp:positionH relativeFrom="page">
                <wp:posOffset>6401435</wp:posOffset>
              </wp:positionH>
              <wp:positionV relativeFrom="paragraph">
                <wp:posOffset>7620</wp:posOffset>
              </wp:positionV>
              <wp:extent cx="88900" cy="20955"/>
              <wp:effectExtent l="0" t="0" r="0" b="0"/>
              <wp:wrapSquare wrapText="bothSides"/>
              <wp:docPr id="1" name="Frame1"/>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Header"/>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6pt;mso-position-vertical-relative:text;margin-left:504.05pt;mso-position-horizontal-relative:page">
              <v:fill opacity="0f"/>
              <v:textbox inset="0in,0in,0in,0in">
                <w:txbxContent>
                  <w:p>
                    <w:pPr>
                      <w:pStyle w:val="Header"/>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numPr>
        <w:ilvl w:val="0"/>
        <w:numId w:val="1"/>
      </w:numPr>
      <w:jc w:val="both"/>
      <w:outlineLvl w:val="0"/>
    </w:pPr>
    <w:rPr>
      <w:color w:val="000000"/>
      <w:sz w:val="24"/>
      <w:lang w:val="en-AU" w:eastAsia="en-US"/>
    </w:rPr>
  </w:style>
  <w:style w:type="paragraph" w:styleId="Heading3">
    <w:name w:val="heading 3"/>
    <w:basedOn w:val="Normal"/>
    <w:next w:val="Normal"/>
    <w:qFormat/>
    <w:pPr>
      <w:keepNext w:val="true"/>
      <w:numPr>
        <w:ilvl w:val="2"/>
        <w:numId w:val="1"/>
      </w:numPr>
      <w:jc w:val="both"/>
      <w:outlineLvl w:val="2"/>
    </w:pPr>
    <w:rPr>
      <w:b/>
      <w:sz w:val="24"/>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sz w:val="24"/>
    </w:rPr>
  </w:style>
  <w:style w:type="paragraph" w:styleId="BodyTextIndent2">
    <w:name w:val="Body Text Indent 2"/>
    <w:basedOn w:val="Normal"/>
    <w:qFormat/>
    <w:pPr>
      <w:ind w:hanging="709" w:start="709" w:end="0"/>
      <w:jc w:val="both"/>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536" w:leader="none"/>
        <w:tab w:val="right" w:pos="9072" w:leader="none"/>
      </w:tabs>
    </w:pPr>
    <w:rPr/>
  </w:style>
  <w:style w:type="paragraph" w:styleId="Footer">
    <w:name w:val="footer"/>
    <w:basedOn w:val="Normal"/>
    <w:pPr>
      <w:tabs>
        <w:tab w:val="clear" w:pos="720"/>
        <w:tab w:val="center" w:pos="4536" w:leader="none"/>
        <w:tab w:val="right" w:pos="9072"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1999-12-06T07:41:00Z</dcterms:created>
  <dc:creator>Martin Rosell</dc:creator>
  <dc:description/>
  <dc:language>en-CA</dc:language>
  <cp:lastModifiedBy>mrosell2</cp:lastModifiedBy>
  <cp:lastPrinted>1999-12-06T10:57:00Z</cp:lastPrinted>
  <dcterms:modified xsi:type="dcterms:W3CDTF">1999-12-06T07:41:00Z</dcterms:modified>
  <cp:revision>2</cp:revision>
  <dc:subject/>
  <dc:title>To:</dc:title>
</cp:coreProperties>
</file>