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center"/>
        <w:rPr/>
      </w:pPr>
      <w:r>
        <w:rPr/>
        <w:t>Directors’ Duties</w:t>
      </w:r>
    </w:p>
    <w:p>
      <w:pPr>
        <w:pStyle w:val="Level1"/>
        <w:numPr>
          <w:ilvl w:val="0"/>
          <w:numId w:val="18"/>
        </w:numPr>
        <w:ind w:hanging="0" w:start="0"/>
        <w:rPr/>
      </w:pPr>
      <w:r>
        <w:rPr/>
        <w:t>Introduction</w:t>
      </w:r>
    </w:p>
    <w:p>
      <w:pPr>
        <w:pStyle w:val="Body"/>
        <w:rPr/>
      </w:pPr>
      <w:r>
        <w:rPr/>
        <w:t>We have been asked to prepare a brief general note for directors of companies in the Enron Europe part of the Enron Corporation group by way of general background ahead of a meeting scheduled for tomorrow.</w:t>
      </w:r>
    </w:p>
    <w:p>
      <w:pPr>
        <w:pStyle w:val="Body"/>
        <w:rPr/>
      </w:pPr>
      <w:r>
        <w:rPr/>
        <w:t>The context is that a number of recent events have occurred in relation to Enron Corporation, including at least the following:</w:t>
      </w:r>
    </w:p>
    <w:p>
      <w:pPr>
        <w:pStyle w:val="bullet2"/>
        <w:numPr>
          <w:ilvl w:val="0"/>
          <w:numId w:val="19"/>
        </w:numPr>
        <w:ind w:hanging="0" w:start="0"/>
        <w:rPr/>
      </w:pPr>
      <w:r>
        <w:rPr/>
        <w:t>An inability to roll over maturing commercial paper, leading to a major drawdown of bank facilities.</w:t>
      </w:r>
    </w:p>
    <w:p>
      <w:pPr>
        <w:pStyle w:val="bullet2"/>
        <w:numPr>
          <w:ilvl w:val="0"/>
          <w:numId w:val="19"/>
        </w:numPr>
        <w:ind w:hanging="0" w:start="0"/>
        <w:rPr/>
      </w:pPr>
      <w:r>
        <w:rPr/>
        <w:t>Enron is known to be seeking further facilities.</w:t>
      </w:r>
    </w:p>
    <w:p>
      <w:pPr>
        <w:pStyle w:val="bullet2"/>
        <w:numPr>
          <w:ilvl w:val="0"/>
          <w:numId w:val="19"/>
        </w:numPr>
        <w:ind w:hanging="0" w:start="0"/>
        <w:rPr/>
      </w:pPr>
      <w:r>
        <w:rPr/>
        <w:t>Enron has suffered a credit downgrade.</w:t>
      </w:r>
    </w:p>
    <w:p>
      <w:pPr>
        <w:pStyle w:val="bullet2"/>
        <w:numPr>
          <w:ilvl w:val="0"/>
          <w:numId w:val="19"/>
        </w:numPr>
        <w:ind w:hanging="0" w:start="0"/>
        <w:rPr/>
      </w:pPr>
      <w:r>
        <w:rPr/>
        <w:t>There has been a significant decline in the share price.</w:t>
      </w:r>
    </w:p>
    <w:p>
      <w:pPr>
        <w:pStyle w:val="bullet2"/>
        <w:numPr>
          <w:ilvl w:val="0"/>
          <w:numId w:val="19"/>
        </w:numPr>
        <w:ind w:hanging="0" w:start="0"/>
        <w:rPr/>
      </w:pPr>
      <w:r>
        <w:rPr/>
        <w:t>There has been a write-off of some magnitude in respect of certain off balance sheet vehicles.</w:t>
      </w:r>
    </w:p>
    <w:p>
      <w:pPr>
        <w:pStyle w:val="bullet2"/>
        <w:numPr>
          <w:ilvl w:val="0"/>
          <w:numId w:val="19"/>
        </w:numPr>
        <w:ind w:hanging="0" w:start="0"/>
        <w:rPr/>
      </w:pPr>
      <w:r>
        <w:rPr/>
        <w:t>Some members of the senior management team in the United States have left.</w:t>
      </w:r>
    </w:p>
    <w:p>
      <w:pPr>
        <w:pStyle w:val="bullet2"/>
        <w:numPr>
          <w:ilvl w:val="0"/>
          <w:numId w:val="19"/>
        </w:numPr>
        <w:ind w:hanging="0" w:start="0"/>
        <w:rPr/>
      </w:pPr>
      <w:r>
        <w:rPr/>
        <w:t>The SEC has announced an informal enquiry.</w:t>
      </w:r>
    </w:p>
    <w:p>
      <w:pPr>
        <w:pStyle w:val="bullet2"/>
        <w:numPr>
          <w:ilvl w:val="0"/>
          <w:numId w:val="19"/>
        </w:numPr>
        <w:ind w:hanging="0" w:start="0"/>
        <w:rPr/>
      </w:pPr>
      <w:r>
        <w:rPr/>
        <w:t>Class actions have been threatened or launched in the United States.</w:t>
      </w:r>
    </w:p>
    <w:p>
      <w:pPr>
        <w:pStyle w:val="bullet2"/>
        <w:numPr>
          <w:ilvl w:val="0"/>
          <w:numId w:val="19"/>
        </w:numPr>
        <w:ind w:hanging="0" w:start="0"/>
        <w:rPr/>
      </w:pPr>
      <w:r>
        <w:rPr/>
        <w:t>There has been much press speculation in recent days.</w:t>
      </w:r>
    </w:p>
    <w:p>
      <w:pPr>
        <w:pStyle w:val="Level1"/>
        <w:numPr>
          <w:ilvl w:val="0"/>
          <w:numId w:val="18"/>
        </w:numPr>
        <w:ind w:hanging="0" w:start="0"/>
        <w:rPr/>
      </w:pPr>
      <w:r>
        <w:rPr/>
        <w:t>Key Issues</w:t>
      </w:r>
    </w:p>
    <w:p>
      <w:pPr>
        <w:pStyle w:val="Body1"/>
        <w:rPr/>
      </w:pPr>
      <w:r>
        <w:rPr/>
        <w:t>The core question for the purposes of this Note is a description of the wrongful trading regime under English law. Before turning to that, however, it is sensible to look briefly at who counts as a director for the purposes of the issues covered in this Note and at general company law duties.</w:t>
      </w:r>
    </w:p>
    <w:p>
      <w:pPr>
        <w:pStyle w:val="Level1"/>
        <w:numPr>
          <w:ilvl w:val="0"/>
          <w:numId w:val="18"/>
        </w:numPr>
        <w:ind w:hanging="0" w:start="0"/>
        <w:rPr/>
      </w:pPr>
      <w:r>
        <w:rPr/>
        <w:t>Who is covered?</w:t>
      </w:r>
    </w:p>
    <w:p>
      <w:pPr>
        <w:pStyle w:val="Body1"/>
        <w:rPr/>
      </w:pPr>
      <w:r>
        <w:rPr/>
        <w:t>The duties referred to in this note are owed by all of the following:</w:t>
      </w:r>
    </w:p>
    <w:p>
      <w:pPr>
        <w:pStyle w:val="Body1"/>
        <w:rPr/>
      </w:pPr>
      <w:r>
        <w:rPr>
          <w:b/>
        </w:rPr>
        <w:t>Registered directors</w:t>
      </w:r>
      <w:r>
        <w:rPr/>
        <w:t xml:space="preserve"> - This includes all persons registered as directors at Companies House and who were registered at the time of the events. Resignation from the board after difficulties or uncertainties come to light is unlikely to be of use to a director seeking to avoid personal liability</w:t>
      </w:r>
    </w:p>
    <w:p>
      <w:pPr>
        <w:pStyle w:val="Body1"/>
        <w:rPr/>
      </w:pPr>
      <w:r>
        <w:rPr>
          <w:b/>
        </w:rPr>
        <w:t>De facto directors</w:t>
      </w:r>
      <w:r>
        <w:rPr/>
        <w:t xml:space="preserve"> - Persons who act as directors but are not registered as such</w:t>
      </w:r>
    </w:p>
    <w:p>
      <w:pPr>
        <w:pStyle w:val="Body1"/>
        <w:rPr/>
      </w:pPr>
      <w:r>
        <w:rPr>
          <w:b/>
        </w:rPr>
        <w:t>Shadow directors</w:t>
      </w:r>
      <w:r>
        <w:rPr/>
        <w:t xml:space="preserve"> - A person who is the directing mind of the company but without actually carrying out the activities directly.</w:t>
      </w:r>
    </w:p>
    <w:p>
      <w:pPr>
        <w:pStyle w:val="Body1"/>
        <w:rPr/>
      </w:pPr>
      <w:r>
        <w:rPr>
          <w:b/>
        </w:rPr>
        <w:t>Secretaries and Managers</w:t>
      </w:r>
      <w:r>
        <w:rPr/>
        <w:t xml:space="preserve"> - Although generally these duties do not extend to such persons, they may be caught by the fraudulent trading r</w:t>
      </w:r>
      <w:r>
        <w:rPr>
          <w:rFonts w:cs="Arial"/>
        </w:rPr>
        <w:t>é</w:t>
      </w:r>
      <w:r>
        <w:rPr/>
        <w:t>gime under s 213  Insolvency Act 1986 (the “</w:t>
      </w:r>
      <w:r>
        <w:rPr>
          <w:b/>
        </w:rPr>
        <w:t>Act</w:t>
      </w:r>
      <w:r>
        <w:rPr/>
        <w:t xml:space="preserve">”). </w:t>
      </w:r>
    </w:p>
    <w:p>
      <w:pPr>
        <w:pStyle w:val="Level1"/>
        <w:numPr>
          <w:ilvl w:val="0"/>
          <w:numId w:val="18"/>
        </w:numPr>
        <w:ind w:hanging="0" w:start="0"/>
        <w:rPr/>
      </w:pPr>
      <w:r>
        <w:rPr/>
        <w:t>Common Law Duties</w:t>
      </w:r>
    </w:p>
    <w:p>
      <w:pPr>
        <w:pStyle w:val="Body1"/>
        <w:rPr/>
      </w:pPr>
      <w:r>
        <w:rPr/>
        <w:t xml:space="preserve">These duties apply at all times not only when a company faces financial difficulty. </w:t>
      </w:r>
    </w:p>
    <w:p>
      <w:pPr>
        <w:pStyle w:val="Body1"/>
        <w:rPr/>
      </w:pPr>
      <w:r>
        <w:rPr>
          <w:b/>
        </w:rPr>
        <w:t>Duty of care</w:t>
      </w:r>
      <w:r>
        <w:rPr/>
        <w:t xml:space="preserve"> - The basic duty of a director is to perform the office of a director with the skill and diligence reasonably to be expected of directors.</w:t>
      </w:r>
    </w:p>
    <w:p>
      <w:pPr>
        <w:pStyle w:val="Body1"/>
        <w:rPr/>
      </w:pPr>
      <w:r>
        <w:rPr>
          <w:b/>
        </w:rPr>
        <w:t>Fiduciary duties</w:t>
      </w:r>
      <w:r>
        <w:rPr/>
        <w:t xml:space="preserve"> - Directors must use the assets for the benefit of the company and not themselves and must account to the company for any secret profits made by themselves. A liquidator can sue under s 212 of the Act for misfeasance if there is a breach of  fiduciary duties by a director.</w:t>
      </w:r>
    </w:p>
    <w:p>
      <w:pPr>
        <w:pStyle w:val="Level1"/>
        <w:numPr>
          <w:ilvl w:val="0"/>
          <w:numId w:val="18"/>
        </w:numPr>
        <w:ind w:hanging="0" w:start="0"/>
        <w:rPr/>
      </w:pPr>
      <w:r>
        <w:rPr/>
        <w:t>Wrongful Trading</w:t>
      </w:r>
    </w:p>
    <w:p>
      <w:pPr>
        <w:pStyle w:val="Body1"/>
        <w:rPr/>
      </w:pPr>
      <w:r>
        <w:rPr/>
        <w:t>Wrongful trading is the key additional issue which arises when a company or group is or may be in a degree of financial difficulty or where directors think it prudent to ask themselves the question “what if?”.</w:t>
      </w:r>
    </w:p>
    <w:p>
      <w:pPr>
        <w:pStyle w:val="Body1"/>
        <w:rPr/>
      </w:pPr>
      <w:r>
        <w:rPr/>
        <w:t>The Appendix sets out the full text of the relevant section of the Insolvency Act. The essence of wrongful trading is that, where directors have allowed a company to continue to trade when they knew or should have realised that there was no alternative to an insolvent liquidation, they may be required to make a contribution to the deficiency in the company’s assets.</w:t>
      </w:r>
    </w:p>
    <w:p>
      <w:pPr>
        <w:pStyle w:val="Body1"/>
        <w:rPr/>
      </w:pPr>
      <w:r>
        <w:rPr/>
        <w:t>It should be noted that wrongful trading only arises as an issue if, ultimately, the company in question does go into an insolvent liquidation. This should be contrasted with the question whether a company is insolvent. Many companies are technically insolvent during the time when they are seeking to resolve financial difficulties in which they may find themselves. Many subsidiary companies in large and solvent groups are themselves insolvent on a stand-alone basis. The wrongful trading test is not concerned with whether a company is insolvent but whether there is or is not a reasonable prospect of avoiding an insolvent liquidation.</w:t>
      </w:r>
    </w:p>
    <w:p>
      <w:pPr>
        <w:pStyle w:val="Body1"/>
        <w:rPr/>
      </w:pPr>
      <w:r>
        <w:rPr/>
        <w:t>Liability under the wrongful trading regime is civil, not criminal.</w:t>
      </w:r>
    </w:p>
    <w:p>
      <w:pPr>
        <w:pStyle w:val="Body1"/>
        <w:rPr/>
      </w:pPr>
      <w:r>
        <w:rPr>
          <w:b/>
        </w:rPr>
        <w:t>Knowledge</w:t>
      </w:r>
      <w:r>
        <w:rPr/>
        <w:t xml:space="preserve"> - Liability hinges on the fact that at some time before insolvent liquidation has occurred, it was clear that the company had no reasonable prospect of avoiding it. This either means actual knowledge or knowledge that the directors should have had, had they been showing proper care in attending to the affairs of the company. Liability will not arise if at the relevant time (prior to liquidation) there was a “reasonable prospect” that insolvency would be avoided.</w:t>
      </w:r>
    </w:p>
    <w:p>
      <w:pPr>
        <w:pStyle w:val="Body1"/>
        <w:rPr/>
      </w:pPr>
      <w:r>
        <w:rPr>
          <w:b/>
        </w:rPr>
        <w:t>Minimising loss to creditors:</w:t>
      </w:r>
      <w:r>
        <w:rPr/>
        <w:t xml:space="preserve"> Once insolvency appears inevitable, the directors can only avoid liability if they take “every step” with a view to minimising the potential loss to the creditors. This is a difficult test to satisfy.</w:t>
      </w:r>
    </w:p>
    <w:p>
      <w:pPr>
        <w:pStyle w:val="Body1"/>
        <w:rPr/>
      </w:pPr>
      <w:r>
        <w:rPr>
          <w:b/>
        </w:rPr>
        <w:t>Standard of Care</w:t>
      </w:r>
      <w:r>
        <w:rPr/>
        <w:t xml:space="preserve"> - This test of conduct is both subjective and objective. The directors will be judged by reference to a standard of conduct reasonably expected of any director, but also by reference to any particular skills or qualifications that an individual director has. However, it is not a defence to argue that that matters were dealt with by other board members.</w:t>
      </w:r>
    </w:p>
    <w:p>
      <w:pPr>
        <w:pStyle w:val="Body1"/>
        <w:rPr/>
      </w:pPr>
      <w:r>
        <w:rPr>
          <w:b/>
        </w:rPr>
        <w:t xml:space="preserve">Extent of Liability </w:t>
      </w:r>
      <w:r>
        <w:rPr/>
        <w:t xml:space="preserve">- The Court has a wide discretion to order a director to make such contribution to the company’s assets as the Court thinks fit. There is no upper limit on liability. The Courts have made clear that the section is compensatory and not punitive. In assessing the amount of the contribution the Court will look at the individual conduct of directors, as well as the overall conduct of the Board including directors’ particular roles in the company. </w:t>
      </w:r>
    </w:p>
    <w:p>
      <w:pPr>
        <w:pStyle w:val="Body1"/>
        <w:rPr/>
      </w:pPr>
      <w:r>
        <w:rPr>
          <w:b/>
        </w:rPr>
        <w:t>Creditors’ interests have priority over the interests of Shareholders</w:t>
      </w:r>
      <w:r>
        <w:rPr/>
        <w:t xml:space="preserve"> - When there is a real prospect of insolvency the law imposes an overriding duty on directors to act in the interests of creditors and the duty to shareholders is subordinated.</w:t>
      </w:r>
    </w:p>
    <w:p>
      <w:pPr>
        <w:pStyle w:val="Body1"/>
        <w:rPr/>
      </w:pPr>
      <w:r>
        <w:rPr>
          <w:b/>
          <w:bCs/>
        </w:rPr>
        <w:t>Directors of Subsidiary Companies</w:t>
      </w:r>
      <w:r>
        <w:rPr/>
        <w:t xml:space="preserve"> - Under the legislation each company has to be looked at separately. Where, however, the financial health of a subsidiary is dependent, wholly or very largely, on the financial condition of its parent the position is in practice somewhat different. The liabilities of each group company are what they are. It is the company’s ability to meet its obligations which has to be looked at differently where the issues arise in relation to directors of subsidiaries. The question in that case is not whether the individual subsidiary from its own resources is able to meet its obligations. It is rather, taking into account not only its own resources but also group financing arrangements available to it, whether it is in a position to do so.</w:t>
      </w:r>
    </w:p>
    <w:p>
      <w:pPr>
        <w:pStyle w:val="Level1"/>
        <w:numPr>
          <w:ilvl w:val="0"/>
          <w:numId w:val="18"/>
        </w:numPr>
        <w:ind w:hanging="0" w:start="0"/>
        <w:rPr/>
      </w:pPr>
      <w:r>
        <w:rPr/>
        <w:t>Practical Issues to reduce personal liability but allowing company to trade</w:t>
      </w:r>
    </w:p>
    <w:p>
      <w:pPr>
        <w:pStyle w:val="Body1"/>
        <w:rPr/>
      </w:pPr>
      <w:r>
        <w:rPr/>
        <w:t xml:space="preserve">Seek complete and up to date information about the company’s financial position. </w:t>
      </w:r>
    </w:p>
    <w:p>
      <w:pPr>
        <w:pStyle w:val="Body1"/>
        <w:rPr/>
      </w:pPr>
      <w:r>
        <w:rPr/>
        <w:t>Obtain professional advice, record advice and act upon it. This includes legal, financial and business issues. It may be appropriate to consult an insolvency practitioner.</w:t>
      </w:r>
    </w:p>
    <w:p>
      <w:pPr>
        <w:pStyle w:val="Body1"/>
        <w:rPr/>
      </w:pPr>
      <w:r>
        <w:rPr/>
        <w:t xml:space="preserve">Fully record reasoning behind decision to continue trading if there is a real prospect of insolvent liquidation. </w:t>
      </w:r>
    </w:p>
    <w:p>
      <w:pPr>
        <w:pStyle w:val="Body1"/>
        <w:rPr/>
      </w:pPr>
      <w:r>
        <w:rPr/>
        <w:t>Prepare an insolvency model and test the exposure of creditors against the model</w:t>
      </w:r>
    </w:p>
    <w:p>
      <w:pPr>
        <w:pStyle w:val="Level1"/>
        <w:numPr>
          <w:ilvl w:val="0"/>
          <w:numId w:val="18"/>
        </w:numPr>
        <w:ind w:hanging="0" w:start="0"/>
        <w:rPr/>
      </w:pPr>
      <w:r>
        <w:rPr/>
        <w:t>Fraudulent Trading (Section 213 of the Act)</w:t>
      </w:r>
    </w:p>
    <w:p>
      <w:pPr>
        <w:pStyle w:val="Body1"/>
        <w:rPr/>
      </w:pPr>
      <w:r>
        <w:rPr/>
        <w:t>This section gives the Court the power to require any person who was knowingly party to the fraudulent carrying on of the business of the company to make such contribution to its assets as the Court thinks fit. Liability almost certainly involves dishonesty and not merely incompetence. As fraudulent trading will almost certainly be wrongful as well it is unlikely that claims will be made for fraudulent trading when a claim for the easier to prove wrongful trading can be made instead, unless the circumstances are exceptional. Section 213 of the Act may be used against non-directors.</w:t>
      </w:r>
    </w:p>
    <w:p>
      <w:pPr>
        <w:pStyle w:val="Level1"/>
        <w:numPr>
          <w:ilvl w:val="0"/>
          <w:numId w:val="18"/>
        </w:numPr>
        <w:ind w:hanging="0" w:start="0"/>
        <w:rPr/>
      </w:pPr>
      <w:r>
        <w:rPr/>
        <w:t>Disqualification</w:t>
      </w:r>
    </w:p>
    <w:p>
      <w:pPr>
        <w:pStyle w:val="Body1"/>
        <w:rPr/>
      </w:pPr>
      <w:r>
        <w:rPr/>
        <w:t>The Secretary of the State has the power to apply to the court for the disqualification of directors in various circumstances in which they have shown themselves to be unfit to be involved in the future management of limited liability companies</w:t>
      </w:r>
    </w:p>
    <w:p>
      <w:pPr>
        <w:pStyle w:val="Level1"/>
        <w:numPr>
          <w:ilvl w:val="0"/>
          <w:numId w:val="18"/>
        </w:numPr>
        <w:ind w:hanging="0" w:start="0"/>
        <w:rPr/>
      </w:pPr>
      <w:r>
        <w:rPr/>
        <w:t>Indemnity and Insurance</w:t>
      </w:r>
    </w:p>
    <w:p>
      <w:pPr>
        <w:pStyle w:val="Body1"/>
        <w:rPr/>
      </w:pPr>
      <w:r>
        <w:rPr/>
        <w:t>Section 310 of the Companies Act 1985 will prevent a director from obtaining indemnity from the company against wrongful trading liability, although a third party could give an indemnity. Whether liability is covered by insurance cover will depend on the terms of the policy. The Shareholders cannot relieve liability by resolving to approve the directors’ conduct, as the remedy is aimed at protecting the interests of creditors not Shareholders.</w:t>
      </w:r>
    </w:p>
    <w:p>
      <w:pPr>
        <w:pStyle w:val="Body1"/>
        <w:rPr/>
      </w:pPr>
      <w:r>
        <w:rPr/>
        <w:t>No indemnity or insurance is available in respect of fraudulent trading.</w:t>
      </w:r>
    </w:p>
    <w:p>
      <w:pPr>
        <w:pStyle w:val="Body1"/>
        <w:ind w:start="0" w:end="0"/>
        <w:rPr/>
      </w:pPr>
      <w:r>
        <w:rPr/>
        <w:t>Linklaters</w:t>
        <w:br/>
        <w:t>1 November 2001</w:t>
      </w:r>
    </w:p>
    <w:p>
      <w:pPr>
        <w:pStyle w:val="Body"/>
        <w:rPr/>
      </w:pPr>
      <w:r>
        <w:rPr/>
      </w:r>
      <w:r>
        <w:br w:type="page"/>
      </w:r>
    </w:p>
    <w:p>
      <w:pPr>
        <w:pStyle w:val="Heading"/>
        <w:jc w:val="center"/>
        <w:rPr/>
      </w:pPr>
      <w:r>
        <w:rPr/>
        <w:t>APPENDIX</w:t>
      </w:r>
    </w:p>
    <w:p>
      <w:pPr>
        <w:pStyle w:val="Heading"/>
        <w:jc w:val="center"/>
        <w:rPr/>
      </w:pPr>
      <w:r>
        <w:rPr/>
        <w:t>INSOLVENCY ACT 1986</w:t>
      </w:r>
    </w:p>
    <w:p>
      <w:pPr>
        <w:pStyle w:val="Body"/>
        <w:rPr>
          <w:b/>
        </w:rPr>
      </w:pPr>
      <w:r>
        <w:rPr>
          <w:b/>
        </w:rPr>
      </w:r>
    </w:p>
    <w:p>
      <w:pPr>
        <w:pStyle w:val="Body1"/>
        <w:rPr>
          <w:b/>
        </w:rPr>
      </w:pPr>
      <w:r>
        <w:rPr>
          <w:b/>
        </w:rPr>
        <w:t>Section 213 - Fraudulent Trading</w:t>
      </w:r>
    </w:p>
    <w:p>
      <w:pPr>
        <w:pStyle w:val="Body1"/>
        <w:rPr/>
      </w:pPr>
      <w:r>
        <w:rPr/>
        <w:t>(1)</w:t>
        <w:tab/>
        <w:t>If in the course of the winding up of a company it appears that any business of the company has been carried on with intent to defraud creditors of the company or creditors of any other person, or for any fraudulent purpose, the following has effect.</w:t>
      </w:r>
    </w:p>
    <w:p>
      <w:pPr>
        <w:pStyle w:val="Body1"/>
        <w:rPr/>
      </w:pPr>
      <w:r>
        <w:rPr/>
        <w:t>(2)</w:t>
        <w:tab/>
        <w:t>The court, on the application of the liquidator may declare that any persons who were knowingly parties to the carrying on of such business in the manner above-mentioned are to be liable to make such contributions (if any) to the company’s assets as the court thinks proper.</w:t>
      </w:r>
    </w:p>
    <w:p>
      <w:pPr>
        <w:pStyle w:val="Body1"/>
        <w:rPr/>
      </w:pPr>
      <w:r>
        <w:rPr/>
      </w:r>
    </w:p>
    <w:p>
      <w:pPr>
        <w:pStyle w:val="Body1"/>
        <w:rPr>
          <w:b/>
        </w:rPr>
      </w:pPr>
      <w:r>
        <w:rPr>
          <w:b/>
        </w:rPr>
        <w:t>Section 214</w:t>
        <w:tab/>
        <w:t xml:space="preserve"> - Wrongful Trading</w:t>
      </w:r>
    </w:p>
    <w:p>
      <w:pPr>
        <w:pStyle w:val="Body1"/>
        <w:rPr/>
      </w:pPr>
      <w:r>
        <w:rPr/>
        <w:t xml:space="preserve">(1) </w:t>
        <w:tab/>
        <w:t>Subject to subsection (3) below, if in the course of the winding up of a company it appears that subsection (2) of this section applies in relation to a person who is or has been a director of the company, the court, on the application of the liquidator, may declare that that person is to be liable to make such contribution (if any) to the company’s assets as the court thinks proper.</w:t>
      </w:r>
    </w:p>
    <w:p>
      <w:pPr>
        <w:pStyle w:val="Body1"/>
        <w:rPr/>
      </w:pPr>
      <w:r>
        <w:rPr/>
        <w:t xml:space="preserve">(2) </w:t>
        <w:tab/>
        <w:t>This subsection applies in relation to a person if-</w:t>
      </w:r>
    </w:p>
    <w:p>
      <w:pPr>
        <w:pStyle w:val="Body1"/>
        <w:rPr/>
      </w:pPr>
      <w:r>
        <w:rPr/>
        <w:t>(a) the company has gone into insolvent liquidation,</w:t>
      </w:r>
    </w:p>
    <w:p>
      <w:pPr>
        <w:pStyle w:val="Body1"/>
        <w:rPr/>
      </w:pPr>
      <w:r>
        <w:rPr/>
        <w:t>(b) at some time before the commencement of the winding up of the company, that person knew or ought to have concluded that there was no reasonable prospect that the company would avoid going into insolvent liquidation, and</w:t>
      </w:r>
    </w:p>
    <w:p>
      <w:pPr>
        <w:pStyle w:val="Body1"/>
        <w:rPr/>
      </w:pPr>
      <w:r>
        <w:rPr/>
        <w:t>(c) that person was a director of the company at that time;</w:t>
      </w:r>
    </w:p>
    <w:p>
      <w:pPr>
        <w:pStyle w:val="Body1"/>
        <w:rPr/>
      </w:pPr>
      <w:r>
        <w:rPr/>
        <w:t>but the court shall not make a declaration under this section in any case where the time mentioned in paragraph (b) above was before the 28</w:t>
      </w:r>
      <w:r>
        <w:rPr>
          <w:vertAlign w:val="superscript"/>
        </w:rPr>
        <w:t>th</w:t>
      </w:r>
      <w:r>
        <w:rPr/>
        <w:t xml:space="preserve"> April 1986.</w:t>
      </w:r>
    </w:p>
    <w:p>
      <w:pPr>
        <w:pStyle w:val="Body1"/>
        <w:rPr/>
      </w:pPr>
      <w:r>
        <w:rPr/>
        <w:t>(3)</w:t>
        <w:tab/>
        <w:t>The court shall not make a declaration under this section with respect to any person if it is satisfied that after the condition specified in subsection (2)(b) was first satisfied in relation to him that person took every step with a view to minimising the potential loss to the company’s creditors as (assuming him to have known that there was no reasonable prospect that the company would avoid going into insolvent liquidation) he ought to have taken.</w:t>
      </w:r>
    </w:p>
    <w:p>
      <w:pPr>
        <w:pStyle w:val="Body1"/>
        <w:rPr/>
      </w:pPr>
      <w:r>
        <w:rPr/>
        <w:t>(4)</w:t>
        <w:tab/>
        <w:t>For the purposes of subsections (2) and (3), the facts which a director of a company ought to know or ascertain, the conclusions which he ought to reach and the steps which he ought to take are those which would be known or ascertained, or reached or taken, by a reasonably diligent person having both -</w:t>
      </w:r>
    </w:p>
    <w:p>
      <w:pPr>
        <w:pStyle w:val="Body1"/>
        <w:rPr/>
      </w:pPr>
      <w:r>
        <w:rPr/>
        <w:t xml:space="preserve">(a) the general knowledge, skill and experience that may reasonably be expected of a person carrying out the same functions as are carried out by that director in relation to the company, and </w:t>
      </w:r>
    </w:p>
    <w:p>
      <w:pPr>
        <w:pStyle w:val="Body1"/>
        <w:rPr/>
      </w:pPr>
      <w:r>
        <w:rPr/>
        <w:t>(b) the general knowledge, skill and experience that that director has.</w:t>
      </w:r>
    </w:p>
    <w:p>
      <w:pPr>
        <w:pStyle w:val="Body1"/>
        <w:rPr/>
      </w:pPr>
      <w:r>
        <w:rPr/>
        <w:t>(5)</w:t>
        <w:tab/>
        <w:t>The reference in subsection (4) to the functions carried out in relation to a company by a director of the company includes any functions which he does not carry out but which have been entrusted to him.</w:t>
      </w:r>
    </w:p>
    <w:p>
      <w:pPr>
        <w:pStyle w:val="Body1"/>
        <w:rPr/>
      </w:pPr>
      <w:r>
        <w:rPr/>
        <w:t xml:space="preserve">(6) </w:t>
        <w:tab/>
        <w:t>For the purposes of this section a company goes into insolvent liquidation if it goes into liquidation at a time when its assets are insufficient for the payment of its debts and other liabilities and the expenses of the winding up.</w:t>
      </w:r>
    </w:p>
    <w:p>
      <w:pPr>
        <w:pStyle w:val="Body1"/>
        <w:rPr/>
      </w:pPr>
      <w:r>
        <w:rPr/>
        <w:t>(7) In this section “director” includes a shadow director.</w:t>
      </w:r>
    </w:p>
    <w:p>
      <w:pPr>
        <w:pStyle w:val="Body1"/>
        <w:rPr/>
      </w:pPr>
      <w:r>
        <w:rPr/>
        <w:t>(8) This section is without prejudice to section 213.</w:t>
      </w:r>
    </w:p>
    <w:p>
      <w:pPr>
        <w:pStyle w:val="Body1"/>
        <w:rPr/>
      </w:pPr>
      <w:r>
        <w:rPr/>
      </w:r>
    </w:p>
    <w:p>
      <w:pPr>
        <w:pStyle w:val="Level2"/>
        <w:numPr>
          <w:ilvl w:val="0"/>
          <w:numId w:val="0"/>
        </w:numPr>
        <w:ind w:hanging="0" w:start="0"/>
        <w:rPr/>
      </w:pPr>
      <w:r>
        <w:rPr/>
      </w:r>
    </w:p>
    <w:p>
      <w:pPr>
        <w:pStyle w:val="Body"/>
        <w:rPr/>
      </w:pPr>
      <w:r>
        <w:rPr/>
      </w:r>
    </w:p>
    <w:p>
      <w:pPr>
        <w:pStyle w:val="Body"/>
        <w:spacing w:before="0" w:after="140"/>
        <w:rPr/>
      </w:pPr>
      <w:r>
        <w:rPr/>
      </w:r>
    </w:p>
    <w:sectPr>
      <w:headerReference w:type="default" r:id="rId2"/>
      <w:footerReference w:type="default" r:id="rId3"/>
      <w:type w:val="nextPage"/>
      <w:pgSz w:w="11906" w:h="16838"/>
      <w:pgMar w:left="1588" w:right="1588" w:gutter="0" w:header="765"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spacing w:before="0" w:after="0"/>
      <w:rPr>
        <w:sz w:val="17"/>
      </w:rPr>
    </w:pPr>
    <w:r>
      <w:rPr>
        <w:sz w:val="16"/>
      </w:rPr>
      <w:fldChar w:fldCharType="begin"/>
    </w:r>
    <w:r>
      <w:rPr>
        <w:sz w:val="16"/>
      </w:rPr>
      <w:instrText xml:space="preserve"> DOCPROPERTY "Document Number"</w:instrText>
    </w:r>
    <w:r>
      <w:rPr>
        <w:sz w:val="16"/>
      </w:rPr>
      <w:fldChar w:fldCharType="separate"/>
    </w:r>
    <w:r>
      <w:rPr>
        <w:sz w:val="16"/>
      </w:rPr>
      <w:t xml:space="preserve"> </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 xml:space="preserve"> </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 xml:space="preserve"> </w:t>
    </w:r>
    <w:r>
      <w:rPr>
        <w:sz w:val="16"/>
      </w:rPr>
      <w:fldChar w:fldCharType="end"/>
    </w:r>
  </w:p>
  <w:p>
    <w:pPr>
      <w:pStyle w:val="Normal"/>
      <w:pBdr>
        <w:top w:val="single" w:sz="4" w:space="1" w:color="000000"/>
      </w:pBdr>
      <w:spacing w:before="0" w:after="140"/>
      <w:jc w:val="center"/>
      <w:rPr/>
    </w:pPr>
    <w:r>
      <w:rPr/>
      <w:t xml:space="preserve">- </w:t>
    </w:r>
    <w:r>
      <w:rPr/>
      <w:fldChar w:fldCharType="begin"/>
    </w:r>
    <w:r>
      <w:rPr/>
      <w:instrText xml:space="preserve"> PAGE </w:instrText>
    </w:r>
    <w:r>
      <w:rPr/>
      <w:fldChar w:fldCharType="separate"/>
    </w:r>
    <w:r>
      <w:rPr/>
      <w:t>5</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upperLetter"/>
      <w:lvlText w:val="(%1)"/>
      <w:lvlJc w:val="start"/>
      <w:pPr>
        <w:tabs>
          <w:tab w:val="num" w:pos="567"/>
        </w:tabs>
        <w:ind w:start="567" w:hanging="567"/>
      </w:pPr>
      <w:rPr/>
    </w:lvl>
  </w:abstractNum>
  <w:abstractNum w:abstractNumId="3">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4">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5">
    <w:lvl w:ilvl="0">
      <w:start w:val="1"/>
      <w:numFmt w:val="bullet"/>
      <w:lvlText w:val=""/>
      <w:lvlJc w:val="start"/>
      <w:pPr>
        <w:tabs>
          <w:tab w:val="num" w:pos="3969"/>
        </w:tabs>
        <w:ind w:start="3969" w:hanging="680"/>
      </w:pPr>
      <w:rPr>
        <w:rFonts w:ascii="Symbol" w:hAnsi="Symbol" w:cs="Symbol" w:hint="default"/>
      </w:rPr>
    </w:lvl>
  </w:abstractNum>
  <w:abstractNum w:abstractNumId="6">
    <w:lvl w:ilvl="0">
      <w:start w:val="1"/>
      <w:numFmt w:val="bullet"/>
      <w:lvlText w:val=""/>
      <w:lvlJc w:val="start"/>
      <w:pPr>
        <w:tabs>
          <w:tab w:val="num" w:pos="567"/>
        </w:tabs>
        <w:ind w:start="567" w:hanging="567"/>
      </w:pPr>
      <w:rPr>
        <w:rFonts w:ascii="Symbol" w:hAnsi="Symbol" w:cs="Symbol" w:hint="default"/>
      </w:rPr>
    </w:lvl>
  </w:abstractNum>
  <w:abstractNum w:abstractNumId="7">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8">
    <w:lvl w:ilvl="0">
      <w:start w:val="1"/>
      <w:numFmt w:val="bullet"/>
      <w:lvlText w:val=""/>
      <w:lvlJc w:val="start"/>
      <w:pPr>
        <w:tabs>
          <w:tab w:val="num" w:pos="2722"/>
        </w:tabs>
        <w:ind w:start="2722" w:hanging="681"/>
      </w:pPr>
      <w:rPr>
        <w:rFonts w:ascii="Symbol" w:hAnsi="Symbol" w:cs="Symbol" w:hint="default"/>
      </w:rPr>
    </w:lvl>
  </w:abstractNum>
  <w:abstractNum w:abstractNumId="9">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0">
    <w:lvl w:ilvl="0">
      <w:start w:val="1"/>
      <w:numFmt w:val="bullet"/>
      <w:lvlText w:val=""/>
      <w:lvlJc w:val="start"/>
      <w:pPr>
        <w:tabs>
          <w:tab w:val="num" w:pos="2041"/>
        </w:tabs>
        <w:ind w:start="2041" w:hanging="794"/>
      </w:pPr>
      <w:rPr>
        <w:rFonts w:ascii="Symbol" w:hAnsi="Symbol" w:cs="Symbol" w:hint="default"/>
      </w:rPr>
    </w:lvl>
  </w:abstractNum>
  <w:abstractNum w:abstractNumId="11">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2">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3">
    <w:lvl w:ilvl="0">
      <w:start w:val="1"/>
      <w:numFmt w:val="bullet"/>
      <w:lvlText w:val=""/>
      <w:lvlJc w:val="start"/>
      <w:pPr>
        <w:tabs>
          <w:tab w:val="num" w:pos="3289"/>
        </w:tabs>
        <w:ind w:start="3289" w:hanging="567"/>
      </w:pPr>
      <w:rPr>
        <w:rFonts w:ascii="Symbol" w:hAnsi="Symbol" w:cs="Symbol" w:hint="default"/>
      </w:rPr>
    </w:lvl>
  </w:abstractNum>
  <w:abstractNum w:abstractNumId="14">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5">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6">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17">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18">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bullet"/>
      <w:lvlText w:val=""/>
      <w:lvlJc w:val="start"/>
      <w:pPr>
        <w:tabs>
          <w:tab w:val="num" w:pos="1247"/>
        </w:tabs>
        <w:ind w:start="1247" w:hanging="680"/>
      </w:pPr>
      <w:rPr>
        <w:rFonts w:ascii="Symbol" w:hAnsi="Symbol" w:cs="Symbol" w:hint="default"/>
      </w:rPr>
    </w:lvl>
  </w:abstractNum>
  <w:abstractNum w:abstractNumId="20">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1">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2">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3">
    <w:lvl w:ilvl="0">
      <w:start w:val="1"/>
      <w:numFmt w:val="decimal"/>
      <w:lvlText w:val="(%1)"/>
      <w:lvlJc w:val="start"/>
      <w:pPr>
        <w:tabs>
          <w:tab w:val="num" w:pos="567"/>
        </w:tabs>
        <w:ind w:start="567" w:hanging="567"/>
      </w:pPr>
      <w:rPr>
        <w:sz w:val="20"/>
        <w:i w:val="false"/>
        <w:b/>
      </w:rPr>
    </w:lvl>
  </w:abstractNum>
  <w:abstractNum w:abstractNumId="24">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5">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6">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27">
    <w:lvl w:ilvl="0">
      <w:start w:val="1"/>
      <w:numFmt w:val="lowerRoman"/>
      <w:lvlText w:val="(%1)"/>
      <w:lvlJc w:val="start"/>
      <w:pPr>
        <w:tabs>
          <w:tab w:val="num" w:pos="1247"/>
        </w:tabs>
        <w:ind w:start="1247" w:hanging="680"/>
      </w:pPr>
      <w:rPr>
        <w:sz w:val="20"/>
        <w:i w:val="false"/>
        <w:b w:val="false"/>
        <w:rFonts w:ascii="Arial" w:hAnsi="Arial" w:cs="Arial"/>
      </w:rPr>
    </w:lvl>
  </w:abstractNum>
  <w:abstractNum w:abstractNumId="2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140"/>
    </w:pPr>
    <w:rPr>
      <w:rFonts w:ascii="Arial" w:hAnsi="Arial" w:eastAsia="Times New Roman" w:cs="Arial"/>
      <w:color w:val="auto"/>
      <w:sz w:val="20"/>
      <w:szCs w:val="24"/>
      <w:lang w:val="en-GB" w:bidi="ar-SA" w:eastAsia="zh-CN"/>
    </w:rPr>
  </w:style>
  <w:style w:type="character" w:styleId="WW8Num1z0">
    <w:name w:val="WW8Num1z0"/>
    <w:qFormat/>
    <w:rPr>
      <w:rFonts w:ascii="Symbol" w:hAnsi="Symbol" w:cs="Symbol"/>
    </w:rPr>
  </w:style>
  <w:style w:type="character" w:styleId="WW8Num2z0">
    <w:name w:val="WW8Num2z0"/>
    <w:qFormat/>
    <w:rPr>
      <w:rFonts w:ascii="Arial" w:hAnsi="Arial" w:cs="Arial"/>
      <w:b/>
      <w:i w:val="false"/>
      <w:sz w:val="22"/>
    </w:rPr>
  </w:style>
  <w:style w:type="character" w:styleId="WW8Num2z1">
    <w:name w:val="WW8Num2z1"/>
    <w:qFormat/>
    <w:rPr>
      <w:rFonts w:ascii="Arial" w:hAnsi="Arial" w:cs="Arial"/>
      <w:b/>
      <w:i w:val="false"/>
      <w:sz w:val="21"/>
    </w:rPr>
  </w:style>
  <w:style w:type="character" w:styleId="WW8Num2z2">
    <w:name w:val="WW8Num2z2"/>
    <w:qFormat/>
    <w:rPr>
      <w:rFonts w:ascii="Arial" w:hAnsi="Arial" w:cs="Arial"/>
      <w:b/>
      <w:i w:val="false"/>
      <w:sz w:val="17"/>
    </w:rPr>
  </w:style>
  <w:style w:type="character" w:styleId="WW8Num2z3">
    <w:name w:val="WW8Num2z3"/>
    <w:qFormat/>
    <w:rPr>
      <w:rFonts w:ascii="Arial" w:hAnsi="Arial" w:cs="Arial"/>
      <w:b w:val="false"/>
      <w:i w:val="false"/>
      <w:sz w:val="20"/>
    </w:rPr>
  </w:style>
  <w:style w:type="character" w:styleId="WW8Num3z0">
    <w:name w:val="WW8Num3z0"/>
    <w:qFormat/>
    <w:rPr/>
  </w:style>
  <w:style w:type="character" w:styleId="WW8Num4z0">
    <w:name w:val="WW8Num4z0"/>
    <w:qFormat/>
    <w:rPr>
      <w:rFonts w:ascii="Arial" w:hAnsi="Arial" w:cs="Arial"/>
      <w:b/>
      <w:i w:val="false"/>
      <w:sz w:val="20"/>
    </w:rPr>
  </w:style>
  <w:style w:type="character" w:styleId="WW8Num4z2">
    <w:name w:val="WW8Num4z2"/>
    <w:qFormat/>
    <w:rPr>
      <w:rFonts w:ascii="Arial" w:hAnsi="Arial" w:cs="Arial"/>
      <w:b/>
      <w:i w:val="false"/>
      <w:sz w:val="17"/>
    </w:rPr>
  </w:style>
  <w:style w:type="character" w:styleId="WW8Num4z3">
    <w:name w:val="WW8Num4z3"/>
    <w:qFormat/>
    <w:rPr>
      <w:rFonts w:ascii="Arial" w:hAnsi="Arial" w:cs="Arial"/>
      <w:b w:val="false"/>
      <w:i w:val="false"/>
      <w:sz w:val="20"/>
    </w:rPr>
  </w:style>
  <w:style w:type="character" w:styleId="WW8Num5z0">
    <w:name w:val="WW8Num5z0"/>
    <w:qFormat/>
    <w:rPr>
      <w:rFonts w:ascii="Arial" w:hAnsi="Arial" w:cs="Arial"/>
      <w:b w:val="false"/>
      <w:i w:val="false"/>
      <w:sz w:val="20"/>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Arial" w:hAnsi="Arial" w:cs="Arial"/>
      <w:b w:val="false"/>
      <w:i w:val="false"/>
      <w:sz w:val="20"/>
    </w:rPr>
  </w:style>
  <w:style w:type="character" w:styleId="WW8Num9z0">
    <w:name w:val="WW8Num9z0"/>
    <w:qFormat/>
    <w:rPr>
      <w:rFonts w:ascii="Symbol" w:hAnsi="Symbol" w:cs="Symbol"/>
    </w:rPr>
  </w:style>
  <w:style w:type="character" w:styleId="WW8Num10z0">
    <w:name w:val="WW8Num10z0"/>
    <w:qFormat/>
    <w:rPr>
      <w:rFonts w:ascii="Arial" w:hAnsi="Arial" w:cs="Arial"/>
      <w:b w:val="false"/>
      <w:i w:val="false"/>
      <w:sz w:val="20"/>
    </w:rPr>
  </w:style>
  <w:style w:type="character" w:styleId="WW8Num11z0">
    <w:name w:val="WW8Num11z0"/>
    <w:qFormat/>
    <w:rPr>
      <w:rFonts w:ascii="Symbol" w:hAnsi="Symbol" w:cs="Symbol"/>
    </w:rPr>
  </w:style>
  <w:style w:type="character" w:styleId="WW8Num12z0">
    <w:name w:val="WW8Num12z0"/>
    <w:qFormat/>
    <w:rPr>
      <w:rFonts w:ascii="Arial" w:hAnsi="Arial" w:cs="Arial"/>
      <w:b w:val="false"/>
      <w:i w:val="false"/>
      <w:sz w:val="20"/>
    </w:rPr>
  </w:style>
  <w:style w:type="character" w:styleId="WW8Num13z0">
    <w:name w:val="WW8Num13z0"/>
    <w:qFormat/>
    <w:rPr>
      <w:rFonts w:ascii="Arial" w:hAnsi="Arial" w:cs="Arial"/>
      <w:b/>
      <w:i w:val="false"/>
      <w:sz w:val="22"/>
    </w:rPr>
  </w:style>
  <w:style w:type="character" w:styleId="WW8Num13z1">
    <w:name w:val="WW8Num13z1"/>
    <w:qFormat/>
    <w:rPr>
      <w:rFonts w:ascii="Arial" w:hAnsi="Arial" w:cs="Arial"/>
      <w:b w:val="false"/>
      <w:i w:val="false"/>
      <w:sz w:val="20"/>
    </w:rPr>
  </w:style>
  <w:style w:type="character" w:styleId="WW8Num15z0">
    <w:name w:val="WW8Num15z0"/>
    <w:qFormat/>
    <w:rPr>
      <w:rFonts w:ascii="Symbol" w:hAnsi="Symbol" w:cs="Symbol"/>
    </w:rPr>
  </w:style>
  <w:style w:type="character" w:styleId="WW8Num16z0">
    <w:name w:val="WW8Num16z0"/>
    <w:qFormat/>
    <w:rPr>
      <w:rFonts w:ascii="Arial" w:hAnsi="Arial" w:cs="Arial"/>
      <w:b w:val="false"/>
      <w:i w:val="false"/>
      <w:sz w:val="20"/>
    </w:rPr>
  </w:style>
  <w:style w:type="character" w:styleId="WW8Num17z0">
    <w:name w:val="WW8Num17z0"/>
    <w:qFormat/>
    <w:rPr>
      <w:rFonts w:ascii="Arial" w:hAnsi="Arial" w:cs="Arial"/>
      <w:b w:val="false"/>
      <w:i w:val="false"/>
      <w:sz w:val="20"/>
    </w:rPr>
  </w:style>
  <w:style w:type="character" w:styleId="WW8Num18z0">
    <w:name w:val="WW8Num18z0"/>
    <w:qFormat/>
    <w:rPr>
      <w:rFonts w:ascii="Symbol" w:hAnsi="Symbol" w:cs="Symbol"/>
    </w:rPr>
  </w:style>
  <w:style w:type="character" w:styleId="WW8Num19z0">
    <w:name w:val="WW8Num19z0"/>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rFonts w:ascii="Arial" w:hAnsi="Arial" w:cs="Arial"/>
      <w:b/>
      <w:i w:val="false"/>
      <w:sz w:val="22"/>
    </w:rPr>
  </w:style>
  <w:style w:type="character" w:styleId="WW8Num21z1">
    <w:name w:val="WW8Num21z1"/>
    <w:qFormat/>
    <w:rPr>
      <w:rFonts w:ascii="Arial" w:hAnsi="Arial" w:cs="Arial"/>
      <w:b/>
      <w:i w:val="false"/>
      <w:sz w:val="21"/>
    </w:rPr>
  </w:style>
  <w:style w:type="character" w:styleId="WW8Num21z2">
    <w:name w:val="WW8Num21z2"/>
    <w:qFormat/>
    <w:rPr>
      <w:rFonts w:ascii="Arial" w:hAnsi="Arial" w:cs="Arial"/>
      <w:b/>
      <w:i w:val="false"/>
      <w:sz w:val="17"/>
    </w:rPr>
  </w:style>
  <w:style w:type="character" w:styleId="WW8Num21z3">
    <w:name w:val="WW8Num21z3"/>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Arial" w:hAnsi="Arial" w:cs="Arial"/>
      <w:b w:val="false"/>
      <w:i w:val="false"/>
      <w:sz w:val="20"/>
    </w:rPr>
  </w:style>
  <w:style w:type="character" w:styleId="WW8Num24z0">
    <w:name w:val="WW8Num24z0"/>
    <w:qFormat/>
    <w:rPr>
      <w:rFonts w:ascii="Symbol" w:hAnsi="Symbol" w:cs="Symbol"/>
      <w:b w:val="false"/>
      <w:i w:val="false"/>
      <w:sz w:val="20"/>
    </w:rPr>
  </w:style>
  <w:style w:type="character" w:styleId="WW8Num25z0">
    <w:name w:val="WW8Num25z0"/>
    <w:qFormat/>
    <w:rPr>
      <w:rFonts w:ascii="Arial" w:hAnsi="Arial" w:cs="Arial"/>
      <w:b w:val="false"/>
      <w:i w:val="false"/>
      <w:sz w:val="20"/>
    </w:rPr>
  </w:style>
  <w:style w:type="character" w:styleId="WW8Num26z0">
    <w:name w:val="WW8Num26z0"/>
    <w:qFormat/>
    <w:rPr>
      <w:b/>
      <w:i w:val="false"/>
      <w:sz w:val="20"/>
    </w:rPr>
  </w:style>
  <w:style w:type="character" w:styleId="WW8Num27z0">
    <w:name w:val="WW8Num27z0"/>
    <w:qFormat/>
    <w:rPr>
      <w:rFonts w:ascii="Arial" w:hAnsi="Arial" w:cs="Arial"/>
      <w:b w:val="false"/>
      <w:i w:val="false"/>
      <w:sz w:val="20"/>
    </w:rPr>
  </w:style>
  <w:style w:type="character" w:styleId="WW8Num28z0">
    <w:name w:val="WW8Num28z0"/>
    <w:qFormat/>
    <w:rPr>
      <w:rFonts w:ascii="Arial" w:hAnsi="Arial" w:cs="Arial"/>
      <w:b/>
      <w:i w:val="false"/>
      <w:sz w:val="22"/>
    </w:rPr>
  </w:style>
  <w:style w:type="character" w:styleId="WW8Num28z1">
    <w:name w:val="WW8Num28z1"/>
    <w:qFormat/>
    <w:rPr>
      <w:rFonts w:ascii="Arial" w:hAnsi="Arial" w:cs="Arial"/>
      <w:b/>
      <w:i w:val="false"/>
      <w:sz w:val="21"/>
    </w:rPr>
  </w:style>
  <w:style w:type="character" w:styleId="WW8Num28z2">
    <w:name w:val="WW8Num28z2"/>
    <w:qFormat/>
    <w:rPr>
      <w:rFonts w:ascii="Arial" w:hAnsi="Arial" w:cs="Arial"/>
      <w:b/>
      <w:i w:val="false"/>
      <w:sz w:val="17"/>
    </w:rPr>
  </w:style>
  <w:style w:type="character" w:styleId="WW8Num28z3">
    <w:name w:val="WW8Num28z3"/>
    <w:qFormat/>
    <w:rPr>
      <w:rFonts w:ascii="Arial" w:hAnsi="Arial" w:cs="Arial"/>
      <w:b w:val="false"/>
      <w:i w:val="false"/>
      <w:sz w:val="20"/>
    </w:rPr>
  </w:style>
  <w:style w:type="character" w:styleId="WW8Num29z0">
    <w:name w:val="WW8Num29z0"/>
    <w:qFormat/>
    <w:rPr>
      <w:rFonts w:ascii="Arial" w:hAnsi="Arial" w:cs="Arial"/>
      <w:b/>
      <w:i w:val="false"/>
      <w:sz w:val="21"/>
    </w:rPr>
  </w:style>
  <w:style w:type="character" w:styleId="WW8Num29z1">
    <w:name w:val="WW8Num29z1"/>
    <w:qFormat/>
    <w:rPr>
      <w:rFonts w:ascii="Arial" w:hAnsi="Arial" w:cs="Arial"/>
      <w:b/>
      <w:i w:val="false"/>
      <w:sz w:val="20"/>
    </w:rPr>
  </w:style>
  <w:style w:type="character" w:styleId="WW8Num29z2">
    <w:name w:val="WW8Num29z2"/>
    <w:qFormat/>
    <w:rPr>
      <w:rFonts w:ascii="Arial" w:hAnsi="Arial" w:cs="Arial"/>
      <w:b/>
      <w:i w:val="false"/>
      <w:sz w:val="17"/>
    </w:rPr>
  </w:style>
  <w:style w:type="character" w:styleId="WW8Num29z3">
    <w:name w:val="WW8Num29z3"/>
    <w:qFormat/>
    <w:rPr>
      <w:rFonts w:ascii="Arial" w:hAnsi="Arial" w:cs="Arial"/>
      <w:b w:val="false"/>
      <w:i w:val="false"/>
      <w:sz w:val="20"/>
    </w:rPr>
  </w:style>
  <w:style w:type="character" w:styleId="WW8Num30z0">
    <w:name w:val="WW8Num30z0"/>
    <w:qFormat/>
    <w:rPr>
      <w:rFonts w:ascii="Arial" w:hAnsi="Arial" w:cs="Arial"/>
      <w:b w:val="false"/>
      <w:i w:val="false"/>
      <w:sz w:val="20"/>
    </w:rPr>
  </w:style>
  <w:style w:type="character" w:styleId="WW8Num31z0">
    <w:name w:val="WW8Num31z0"/>
    <w:qFormat/>
    <w:rPr>
      <w:rFonts w:ascii="Arial" w:hAnsi="Arial" w:cs="Arial"/>
      <w:b w:val="false"/>
      <w:i w:val="false"/>
      <w:sz w:val="20"/>
    </w:rPr>
  </w:style>
  <w:style w:type="character" w:styleId="WW8Num32z0">
    <w:name w:val="WW8Num32z0"/>
    <w:qFormat/>
    <w:rPr>
      <w:rFonts w:ascii="Arial" w:hAnsi="Arial" w:cs="Arial"/>
      <w:b w:val="false"/>
      <w:i w:val="false"/>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
    <w:qFormat/>
    <w:pPr>
      <w:keepNext w:val="true"/>
      <w:keepLines/>
      <w:spacing w:before="0" w:after="240"/>
      <w:jc w:val="both"/>
      <w:outlineLvl w:val="3"/>
    </w:pPr>
    <w:rPr>
      <w:b/>
      <w:kern w:val="2"/>
      <w:sz w:val="25"/>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jc w:val="both"/>
    </w:pPr>
    <w:rPr>
      <w:kern w:val="2"/>
      <w:szCs w:val="20"/>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pBdr>
        <w:top w:val="single" w:sz="4" w:space="1" w:color="000000"/>
      </w:pBdr>
      <w:tabs>
        <w:tab w:val="clear" w:pos="567"/>
        <w:tab w:val="center" w:pos="4536" w:leader="none"/>
        <w:tab w:val="right" w:pos="9072" w:leader="none"/>
      </w:tabs>
      <w:spacing w:lineRule="auto" w:line="240" w:before="0" w:after="0"/>
    </w:pPr>
    <w:rPr>
      <w:kern w:val="2"/>
      <w:sz w:val="17"/>
      <w:szCs w:val="20"/>
    </w:rPr>
  </w:style>
  <w:style w:type="paragraph" w:styleId="Header">
    <w:name w:val="header"/>
    <w:basedOn w:val="Normal"/>
    <w:pPr>
      <w:tabs>
        <w:tab w:val="clear" w:pos="567"/>
        <w:tab w:val="center" w:pos="4536" w:leader="none"/>
        <w:tab w:val="right" w:pos="9072" w:leader="none"/>
      </w:tabs>
      <w:spacing w:lineRule="auto" w:line="240" w:before="0" w:after="0"/>
    </w:pPr>
    <w:rPr>
      <w:kern w:val="2"/>
      <w:sz w:val="19"/>
      <w:szCs w:val="20"/>
    </w:rPr>
  </w:style>
  <w:style w:type="paragraph" w:styleId="zFSco-names">
    <w:name w:val="zFSco-names"/>
    <w:basedOn w:val="Normal"/>
    <w:next w:val="Normal"/>
    <w:qFormat/>
    <w:pPr>
      <w:spacing w:lineRule="auto" w:line="317" w:before="0" w:after="0"/>
      <w:ind w:hanging="0" w:start="567" w:end="567"/>
      <w:jc w:val="center"/>
    </w:pPr>
    <w:rPr>
      <w:b/>
      <w:w w:val="125"/>
      <w:kern w:val="2"/>
      <w:sz w:val="24"/>
      <w:szCs w:val="20"/>
    </w:rPr>
  </w:style>
  <w:style w:type="paragraph" w:styleId="zFSnarrative">
    <w:name w:val="zFSnarrative"/>
    <w:basedOn w:val="Normal"/>
    <w:qFormat/>
    <w:pPr>
      <w:spacing w:lineRule="auto" w:line="317" w:before="0" w:after="0"/>
      <w:jc w:val="center"/>
    </w:pPr>
    <w:rPr>
      <w:w w:val="125"/>
      <w:kern w:val="2"/>
      <w:szCs w:val="20"/>
    </w:rPr>
  </w:style>
  <w:style w:type="paragraph" w:styleId="zFStitle">
    <w:name w:val="zFStitle"/>
    <w:basedOn w:val="Normal"/>
    <w:next w:val="zFSnarrative"/>
    <w:qFormat/>
    <w:pPr>
      <w:keepNext w:val="true"/>
      <w:spacing w:lineRule="auto" w:line="341" w:before="240" w:after="160"/>
      <w:ind w:hanging="0" w:start="567" w:end="567"/>
      <w:jc w:val="center"/>
    </w:pPr>
    <w:rPr>
      <w:b/>
      <w:w w:val="125"/>
      <w:kern w:val="2"/>
      <w:sz w:val="28"/>
      <w:szCs w:val="20"/>
    </w:rPr>
  </w:style>
  <w:style w:type="paragraph" w:styleId="zFSDate">
    <w:name w:val="zFSDate"/>
    <w:basedOn w:val="Normal"/>
    <w:qFormat/>
    <w:pPr>
      <w:spacing w:before="0" w:after="0"/>
      <w:jc w:val="center"/>
    </w:pPr>
    <w:rPr>
      <w:kern w:val="2"/>
      <w:szCs w:val="20"/>
    </w:rPr>
  </w:style>
  <w:style w:type="paragraph" w:styleId="alpha1">
    <w:name w:val="alpha 1"/>
    <w:basedOn w:val="Normal"/>
    <w:qFormat/>
    <w:pPr>
      <w:numPr>
        <w:ilvl w:val="0"/>
        <w:numId w:val="15"/>
      </w:numPr>
      <w:tabs>
        <w:tab w:val="left" w:pos="567" w:leader="none"/>
      </w:tabs>
      <w:jc w:val="both"/>
    </w:pPr>
    <w:rPr>
      <w:kern w:val="2"/>
      <w:szCs w:val="20"/>
    </w:rPr>
  </w:style>
  <w:style w:type="paragraph" w:styleId="alpha2">
    <w:name w:val="alpha 2"/>
    <w:basedOn w:val="Normal"/>
    <w:qFormat/>
    <w:pPr>
      <w:numPr>
        <w:ilvl w:val="0"/>
        <w:numId w:val="25"/>
      </w:numPr>
      <w:tabs>
        <w:tab w:val="clear" w:pos="567"/>
        <w:tab w:val="left" w:pos="1247" w:leader="none"/>
      </w:tabs>
      <w:jc w:val="both"/>
    </w:pPr>
    <w:rPr>
      <w:kern w:val="2"/>
      <w:szCs w:val="20"/>
    </w:rPr>
  </w:style>
  <w:style w:type="paragraph" w:styleId="alpha3">
    <w:name w:val="alpha 3"/>
    <w:basedOn w:val="Normal"/>
    <w:qFormat/>
    <w:pPr>
      <w:numPr>
        <w:ilvl w:val="0"/>
        <w:numId w:val="9"/>
      </w:numPr>
      <w:tabs>
        <w:tab w:val="clear" w:pos="567"/>
        <w:tab w:val="left" w:pos="2041" w:leader="none"/>
      </w:tabs>
      <w:jc w:val="both"/>
    </w:pPr>
    <w:rPr>
      <w:kern w:val="2"/>
      <w:szCs w:val="20"/>
    </w:rPr>
  </w:style>
  <w:style w:type="paragraph" w:styleId="alpha4">
    <w:name w:val="alpha 4"/>
    <w:basedOn w:val="Normal"/>
    <w:qFormat/>
    <w:pPr>
      <w:numPr>
        <w:ilvl w:val="0"/>
        <w:numId w:val="4"/>
      </w:numPr>
      <w:tabs>
        <w:tab w:val="clear" w:pos="567"/>
        <w:tab w:val="left" w:pos="2722" w:leader="none"/>
      </w:tabs>
      <w:ind w:hanging="680" w:start="2721" w:end="0"/>
      <w:jc w:val="both"/>
    </w:pPr>
    <w:rPr>
      <w:kern w:val="2"/>
      <w:szCs w:val="20"/>
    </w:rPr>
  </w:style>
  <w:style w:type="paragraph" w:styleId="alpha5">
    <w:name w:val="alpha 5"/>
    <w:basedOn w:val="Normal"/>
    <w:qFormat/>
    <w:pPr>
      <w:numPr>
        <w:ilvl w:val="0"/>
        <w:numId w:val="14"/>
      </w:numPr>
      <w:tabs>
        <w:tab w:val="clear" w:pos="567"/>
        <w:tab w:val="left" w:pos="3289" w:leader="none"/>
      </w:tabs>
      <w:jc w:val="both"/>
    </w:pPr>
    <w:rPr>
      <w:kern w:val="2"/>
      <w:szCs w:val="20"/>
    </w:rPr>
  </w:style>
  <w:style w:type="paragraph" w:styleId="alpha6">
    <w:name w:val="alpha 6"/>
    <w:basedOn w:val="Normal"/>
    <w:qFormat/>
    <w:pPr>
      <w:numPr>
        <w:ilvl w:val="0"/>
        <w:numId w:val="11"/>
      </w:numPr>
      <w:tabs>
        <w:tab w:val="clear" w:pos="567"/>
        <w:tab w:val="left" w:pos="3969" w:leader="none"/>
      </w:tabs>
      <w:jc w:val="both"/>
    </w:pPr>
    <w:rPr>
      <w:kern w:val="2"/>
      <w:szCs w:val="20"/>
    </w:rPr>
  </w:style>
  <w:style w:type="paragraph" w:styleId="Body1">
    <w:name w:val="Body 1"/>
    <w:basedOn w:val="Body"/>
    <w:qFormat/>
    <w:pPr>
      <w:tabs>
        <w:tab w:val="left" w:pos="567" w:leader="none"/>
      </w:tabs>
      <w:ind w:hanging="0" w:start="567" w:end="0"/>
    </w:pPr>
    <w:rPr/>
  </w:style>
  <w:style w:type="paragraph" w:styleId="Body2">
    <w:name w:val="Body 2"/>
    <w:basedOn w:val="Body"/>
    <w:qFormat/>
    <w:pPr>
      <w:tabs>
        <w:tab w:val="clear" w:pos="567"/>
        <w:tab w:val="left" w:pos="1247" w:leader="none"/>
      </w:tabs>
      <w:ind w:hanging="0" w:start="1247" w:end="0"/>
    </w:pPr>
    <w:rPr/>
  </w:style>
  <w:style w:type="paragraph" w:styleId="Body3">
    <w:name w:val="Body 3"/>
    <w:basedOn w:val="Body"/>
    <w:qFormat/>
    <w:pPr>
      <w:tabs>
        <w:tab w:val="clear" w:pos="567"/>
        <w:tab w:val="left" w:pos="2041" w:leader="none"/>
      </w:tabs>
      <w:ind w:hanging="0" w:start="2041" w:end="0"/>
    </w:pPr>
    <w:rPr/>
  </w:style>
  <w:style w:type="paragraph" w:styleId="Body4">
    <w:name w:val="Body 4"/>
    <w:basedOn w:val="Body"/>
    <w:qFormat/>
    <w:pPr>
      <w:tabs>
        <w:tab w:val="clear" w:pos="567"/>
        <w:tab w:val="left" w:pos="2722" w:leader="none"/>
      </w:tabs>
      <w:ind w:hanging="0" w:start="2722" w:end="0"/>
    </w:pPr>
    <w:rPr/>
  </w:style>
  <w:style w:type="paragraph" w:styleId="Body5">
    <w:name w:val="Body 5"/>
    <w:basedOn w:val="Body"/>
    <w:qFormat/>
    <w:pPr>
      <w:tabs>
        <w:tab w:val="clear" w:pos="567"/>
        <w:tab w:val="left" w:pos="3289" w:leader="none"/>
      </w:tabs>
      <w:ind w:hanging="0" w:start="3289" w:end="0"/>
    </w:pPr>
    <w:rPr/>
  </w:style>
  <w:style w:type="paragraph" w:styleId="Body6">
    <w:name w:val="Body 6"/>
    <w:basedOn w:val="Body"/>
    <w:qFormat/>
    <w:pPr>
      <w:tabs>
        <w:tab w:val="clear" w:pos="567"/>
        <w:tab w:val="left" w:pos="3969" w:leader="none"/>
      </w:tabs>
      <w:ind w:hanging="0" w:start="3969" w:end="0"/>
    </w:pPr>
    <w:rPr/>
  </w:style>
  <w:style w:type="paragraph" w:styleId="bullet1">
    <w:name w:val="bullet 1"/>
    <w:basedOn w:val="Normal"/>
    <w:qFormat/>
    <w:pPr>
      <w:numPr>
        <w:ilvl w:val="0"/>
        <w:numId w:val="6"/>
      </w:numPr>
      <w:tabs>
        <w:tab w:val="left" w:pos="567" w:leader="none"/>
      </w:tabs>
      <w:jc w:val="both"/>
    </w:pPr>
    <w:rPr>
      <w:kern w:val="2"/>
      <w:szCs w:val="20"/>
    </w:rPr>
  </w:style>
  <w:style w:type="paragraph" w:styleId="bullet2">
    <w:name w:val="bullet 2"/>
    <w:basedOn w:val="Normal"/>
    <w:qFormat/>
    <w:pPr>
      <w:numPr>
        <w:ilvl w:val="0"/>
        <w:numId w:val="19"/>
      </w:numPr>
      <w:tabs>
        <w:tab w:val="clear" w:pos="567"/>
        <w:tab w:val="left" w:pos="1247" w:leader="none"/>
      </w:tabs>
      <w:jc w:val="both"/>
    </w:pPr>
    <w:rPr>
      <w:kern w:val="2"/>
      <w:szCs w:val="20"/>
    </w:rPr>
  </w:style>
  <w:style w:type="paragraph" w:styleId="bullet3">
    <w:name w:val="bullet 3"/>
    <w:basedOn w:val="Normal"/>
    <w:qFormat/>
    <w:pPr>
      <w:numPr>
        <w:ilvl w:val="0"/>
        <w:numId w:val="10"/>
      </w:numPr>
      <w:tabs>
        <w:tab w:val="clear" w:pos="567"/>
        <w:tab w:val="left" w:pos="2041" w:leader="none"/>
      </w:tabs>
      <w:jc w:val="both"/>
    </w:pPr>
    <w:rPr>
      <w:kern w:val="2"/>
      <w:szCs w:val="20"/>
    </w:rPr>
  </w:style>
  <w:style w:type="paragraph" w:styleId="bullet4">
    <w:name w:val="bullet 4"/>
    <w:basedOn w:val="Normal"/>
    <w:qFormat/>
    <w:pPr>
      <w:numPr>
        <w:ilvl w:val="0"/>
        <w:numId w:val="8"/>
      </w:numPr>
      <w:tabs>
        <w:tab w:val="clear" w:pos="567"/>
        <w:tab w:val="left" w:pos="2722" w:leader="none"/>
      </w:tabs>
      <w:ind w:hanging="680" w:start="2721" w:end="0"/>
      <w:jc w:val="both"/>
    </w:pPr>
    <w:rPr>
      <w:kern w:val="2"/>
      <w:szCs w:val="20"/>
    </w:rPr>
  </w:style>
  <w:style w:type="paragraph" w:styleId="bullet5">
    <w:name w:val="bullet 5"/>
    <w:basedOn w:val="Normal"/>
    <w:qFormat/>
    <w:pPr>
      <w:numPr>
        <w:ilvl w:val="0"/>
        <w:numId w:val="13"/>
      </w:numPr>
      <w:tabs>
        <w:tab w:val="clear" w:pos="567"/>
        <w:tab w:val="left" w:pos="3289" w:leader="none"/>
      </w:tabs>
      <w:jc w:val="both"/>
    </w:pPr>
    <w:rPr>
      <w:kern w:val="2"/>
      <w:szCs w:val="20"/>
    </w:rPr>
  </w:style>
  <w:style w:type="paragraph" w:styleId="bullet6">
    <w:name w:val="bullet 6"/>
    <w:basedOn w:val="Normal"/>
    <w:qFormat/>
    <w:pPr>
      <w:numPr>
        <w:ilvl w:val="0"/>
        <w:numId w:val="5"/>
      </w:numPr>
      <w:tabs>
        <w:tab w:val="clear" w:pos="567"/>
        <w:tab w:val="left" w:pos="3969" w:leader="none"/>
      </w:tabs>
      <w:jc w:val="both"/>
    </w:pPr>
    <w:rPr>
      <w:kern w:val="2"/>
      <w:szCs w:val="20"/>
    </w:rPr>
  </w:style>
  <w:style w:type="paragraph" w:styleId="zFSand">
    <w:name w:val="zFSand"/>
    <w:basedOn w:val="Normal"/>
    <w:next w:val="Normal"/>
    <w:qFormat/>
    <w:pPr>
      <w:spacing w:lineRule="auto" w:line="317" w:before="120" w:after="120"/>
      <w:ind w:hanging="0" w:start="567" w:end="567"/>
      <w:jc w:val="center"/>
    </w:pPr>
    <w:rPr>
      <w:w w:val="125"/>
      <w:kern w:val="2"/>
      <w:szCs w:val="20"/>
    </w:rPr>
  </w:style>
  <w:style w:type="paragraph" w:styleId="CellBody">
    <w:name w:val="CellBody"/>
    <w:basedOn w:val="Normal"/>
    <w:qFormat/>
    <w:pPr>
      <w:spacing w:before="60" w:after="60"/>
    </w:pPr>
    <w:rPr>
      <w:kern w:val="2"/>
      <w:szCs w:val="20"/>
    </w:rPr>
  </w:style>
  <w:style w:type="paragraph" w:styleId="CellHead">
    <w:name w:val="CellHead"/>
    <w:basedOn w:val="Normal"/>
    <w:qFormat/>
    <w:pPr>
      <w:keepNext w:val="true"/>
      <w:spacing w:lineRule="auto" w:line="257" w:before="60" w:after="60"/>
    </w:pPr>
    <w:rPr>
      <w:b/>
      <w:kern w:val="2"/>
      <w:szCs w:val="20"/>
    </w:rPr>
  </w:style>
  <w:style w:type="paragraph" w:styleId="Head">
    <w:name w:val="Head"/>
    <w:basedOn w:val="Normal"/>
    <w:next w:val="Body"/>
    <w:qFormat/>
    <w:pPr>
      <w:keepNext w:val="true"/>
      <w:keepLines/>
      <w:spacing w:before="140" w:after="140"/>
      <w:jc w:val="both"/>
      <w:outlineLvl w:val="3"/>
    </w:pPr>
    <w:rPr>
      <w:b/>
      <w:kern w:val="2"/>
      <w:sz w:val="23"/>
      <w:szCs w:val="20"/>
    </w:rPr>
  </w:style>
  <w:style w:type="paragraph" w:styleId="Head1">
    <w:name w:val="Head 1"/>
    <w:basedOn w:val="Normal"/>
    <w:next w:val="Body1"/>
    <w:qFormat/>
    <w:pPr>
      <w:keepNext w:val="true"/>
      <w:keepLines/>
      <w:spacing w:before="140" w:after="60"/>
      <w:ind w:hanging="0" w:start="567" w:end="0"/>
      <w:jc w:val="both"/>
      <w:outlineLvl w:val="3"/>
    </w:pPr>
    <w:rPr>
      <w:b/>
      <w:kern w:val="2"/>
      <w:sz w:val="22"/>
      <w:szCs w:val="20"/>
    </w:rPr>
  </w:style>
  <w:style w:type="paragraph" w:styleId="Head2">
    <w:name w:val="Head 2"/>
    <w:basedOn w:val="Normal"/>
    <w:next w:val="Body2"/>
    <w:qFormat/>
    <w:pPr>
      <w:keepNext w:val="true"/>
      <w:keepLines/>
      <w:spacing w:before="140" w:after="60"/>
      <w:ind w:hanging="0" w:start="1247" w:end="0"/>
      <w:jc w:val="both"/>
      <w:outlineLvl w:val="3"/>
    </w:pPr>
    <w:rPr>
      <w:b/>
      <w:kern w:val="2"/>
      <w:sz w:val="21"/>
      <w:szCs w:val="20"/>
    </w:rPr>
  </w:style>
  <w:style w:type="paragraph" w:styleId="Head3">
    <w:name w:val="Head 3"/>
    <w:basedOn w:val="Normal"/>
    <w:next w:val="Body3"/>
    <w:qFormat/>
    <w:pPr>
      <w:keepNext w:val="true"/>
      <w:keepLines/>
      <w:spacing w:before="140" w:after="40"/>
      <w:ind w:hanging="0" w:start="2041" w:end="0"/>
      <w:jc w:val="both"/>
      <w:outlineLvl w:val="3"/>
    </w:pPr>
    <w:rPr>
      <w:b/>
      <w:kern w:val="2"/>
      <w:szCs w:val="20"/>
    </w:rPr>
  </w:style>
  <w:style w:type="paragraph" w:styleId="Level1">
    <w:name w:val="Level 1"/>
    <w:basedOn w:val="Normal"/>
    <w:next w:val="Body1"/>
    <w:qFormat/>
    <w:pPr>
      <w:keepNext w:val="true"/>
      <w:numPr>
        <w:ilvl w:val="0"/>
        <w:numId w:val="18"/>
      </w:numPr>
      <w:spacing w:before="140" w:after="140"/>
      <w:jc w:val="both"/>
      <w:outlineLvl w:val="0"/>
    </w:pPr>
    <w:rPr>
      <w:b/>
      <w:kern w:val="2"/>
      <w:sz w:val="22"/>
      <w:szCs w:val="20"/>
    </w:rPr>
  </w:style>
  <w:style w:type="paragraph" w:styleId="Level2">
    <w:name w:val="Level 2"/>
    <w:basedOn w:val="Normal"/>
    <w:qFormat/>
    <w:pPr>
      <w:numPr>
        <w:ilvl w:val="0"/>
        <w:numId w:val="18"/>
      </w:numPr>
      <w:jc w:val="both"/>
      <w:outlineLvl w:val="1"/>
    </w:pPr>
    <w:rPr>
      <w:kern w:val="2"/>
      <w:szCs w:val="20"/>
    </w:rPr>
  </w:style>
  <w:style w:type="paragraph" w:styleId="Level3">
    <w:name w:val="Level 3"/>
    <w:basedOn w:val="Normal"/>
    <w:qFormat/>
    <w:pPr>
      <w:numPr>
        <w:ilvl w:val="0"/>
        <w:numId w:val="18"/>
      </w:numPr>
      <w:jc w:val="both"/>
      <w:outlineLvl w:val="2"/>
    </w:pPr>
    <w:rPr>
      <w:kern w:val="2"/>
      <w:szCs w:val="20"/>
    </w:rPr>
  </w:style>
  <w:style w:type="paragraph" w:styleId="Level4">
    <w:name w:val="Level 4"/>
    <w:basedOn w:val="Normal"/>
    <w:qFormat/>
    <w:pPr>
      <w:numPr>
        <w:ilvl w:val="0"/>
        <w:numId w:val="18"/>
      </w:numPr>
      <w:jc w:val="both"/>
      <w:outlineLvl w:val="3"/>
    </w:pPr>
    <w:rPr>
      <w:kern w:val="2"/>
      <w:szCs w:val="20"/>
    </w:rPr>
  </w:style>
  <w:style w:type="paragraph" w:styleId="Level5">
    <w:name w:val="Level 5"/>
    <w:basedOn w:val="Normal"/>
    <w:qFormat/>
    <w:pPr>
      <w:numPr>
        <w:ilvl w:val="0"/>
        <w:numId w:val="18"/>
      </w:numPr>
      <w:jc w:val="both"/>
      <w:outlineLvl w:val="4"/>
    </w:pPr>
    <w:rPr>
      <w:kern w:val="2"/>
      <w:szCs w:val="20"/>
    </w:rPr>
  </w:style>
  <w:style w:type="paragraph" w:styleId="Level6">
    <w:name w:val="Level 6"/>
    <w:basedOn w:val="Normal"/>
    <w:qFormat/>
    <w:pPr>
      <w:numPr>
        <w:ilvl w:val="0"/>
        <w:numId w:val="18"/>
      </w:numPr>
      <w:jc w:val="both"/>
      <w:outlineLvl w:val="5"/>
    </w:pPr>
    <w:rPr>
      <w:kern w:val="2"/>
      <w:szCs w:val="20"/>
    </w:rPr>
  </w:style>
  <w:style w:type="paragraph" w:styleId="Parties">
    <w:name w:val="Parties"/>
    <w:basedOn w:val="Normal"/>
    <w:qFormat/>
    <w:pPr>
      <w:numPr>
        <w:ilvl w:val="0"/>
        <w:numId w:val="23"/>
      </w:numPr>
      <w:jc w:val="both"/>
    </w:pPr>
    <w:rPr>
      <w:kern w:val="2"/>
      <w:szCs w:val="20"/>
    </w:rPr>
  </w:style>
  <w:style w:type="paragraph" w:styleId="Recitals">
    <w:name w:val="Recitals"/>
    <w:basedOn w:val="Body"/>
    <w:qFormat/>
    <w:pPr>
      <w:numPr>
        <w:ilvl w:val="0"/>
        <w:numId w:val="2"/>
      </w:numPr>
    </w:pPr>
    <w:rPr/>
  </w:style>
  <w:style w:type="paragraph" w:styleId="roman1">
    <w:name w:val="roman 1"/>
    <w:basedOn w:val="Normal"/>
    <w:qFormat/>
    <w:pPr>
      <w:numPr>
        <w:ilvl w:val="0"/>
        <w:numId w:val="17"/>
      </w:numPr>
      <w:tabs>
        <w:tab w:val="left" w:pos="567" w:leader="none"/>
      </w:tabs>
      <w:jc w:val="both"/>
    </w:pPr>
    <w:rPr>
      <w:kern w:val="2"/>
      <w:szCs w:val="20"/>
    </w:rPr>
  </w:style>
  <w:style w:type="paragraph" w:styleId="roman2">
    <w:name w:val="roman 2"/>
    <w:basedOn w:val="Normal"/>
    <w:qFormat/>
    <w:pPr>
      <w:numPr>
        <w:ilvl w:val="0"/>
        <w:numId w:val="27"/>
      </w:numPr>
      <w:tabs>
        <w:tab w:val="clear" w:pos="567"/>
        <w:tab w:val="left" w:pos="1247" w:leader="none"/>
      </w:tabs>
      <w:jc w:val="both"/>
    </w:pPr>
    <w:rPr>
      <w:kern w:val="2"/>
      <w:szCs w:val="20"/>
    </w:rPr>
  </w:style>
  <w:style w:type="paragraph" w:styleId="roman3">
    <w:name w:val="roman 3"/>
    <w:basedOn w:val="Normal"/>
    <w:qFormat/>
    <w:pPr>
      <w:numPr>
        <w:ilvl w:val="0"/>
        <w:numId w:val="20"/>
      </w:numPr>
      <w:tabs>
        <w:tab w:val="clear" w:pos="567"/>
        <w:tab w:val="left" w:pos="2041" w:leader="none"/>
      </w:tabs>
      <w:jc w:val="both"/>
    </w:pPr>
    <w:rPr>
      <w:kern w:val="2"/>
      <w:szCs w:val="20"/>
    </w:rPr>
  </w:style>
  <w:style w:type="paragraph" w:styleId="roman4">
    <w:name w:val="roman 4"/>
    <w:basedOn w:val="Normal"/>
    <w:qFormat/>
    <w:pPr>
      <w:numPr>
        <w:ilvl w:val="0"/>
        <w:numId w:val="16"/>
      </w:numPr>
      <w:tabs>
        <w:tab w:val="clear" w:pos="567"/>
        <w:tab w:val="left" w:pos="2722" w:leader="none"/>
      </w:tabs>
      <w:ind w:hanging="680" w:start="2721" w:end="0"/>
      <w:jc w:val="both"/>
    </w:pPr>
    <w:rPr>
      <w:kern w:val="2"/>
      <w:szCs w:val="20"/>
    </w:rPr>
  </w:style>
  <w:style w:type="paragraph" w:styleId="roman5">
    <w:name w:val="roman 5"/>
    <w:basedOn w:val="Normal"/>
    <w:qFormat/>
    <w:pPr>
      <w:numPr>
        <w:ilvl w:val="0"/>
        <w:numId w:val="26"/>
      </w:numPr>
      <w:tabs>
        <w:tab w:val="clear" w:pos="567"/>
        <w:tab w:val="left" w:pos="3289" w:leader="none"/>
      </w:tabs>
      <w:jc w:val="both"/>
    </w:pPr>
    <w:rPr>
      <w:kern w:val="2"/>
      <w:szCs w:val="20"/>
    </w:rPr>
  </w:style>
  <w:style w:type="paragraph" w:styleId="roman6">
    <w:name w:val="roman 6"/>
    <w:basedOn w:val="Normal"/>
    <w:qFormat/>
    <w:pPr>
      <w:numPr>
        <w:ilvl w:val="0"/>
        <w:numId w:val="24"/>
      </w:numPr>
      <w:tabs>
        <w:tab w:val="clear" w:pos="567"/>
        <w:tab w:val="left" w:pos="3969" w:leader="none"/>
      </w:tabs>
      <w:jc w:val="both"/>
    </w:pPr>
    <w:rPr>
      <w:kern w:val="2"/>
      <w:szCs w:val="20"/>
    </w:rPr>
  </w:style>
  <w:style w:type="paragraph" w:styleId="SchedApps">
    <w:name w:val="Sched/Apps"/>
    <w:basedOn w:val="Normal"/>
    <w:next w:val="Body"/>
    <w:qFormat/>
    <w:pPr>
      <w:keepNext w:val="true"/>
      <w:keepLines/>
      <w:pageBreakBefore/>
      <w:spacing w:before="0" w:after="240"/>
      <w:jc w:val="center"/>
      <w:outlineLvl w:val="3"/>
    </w:pPr>
    <w:rPr>
      <w:b/>
      <w:kern w:val="2"/>
      <w:sz w:val="23"/>
      <w:szCs w:val="20"/>
    </w:rPr>
  </w:style>
  <w:style w:type="paragraph" w:styleId="Schedule1">
    <w:name w:val="Schedule 1"/>
    <w:basedOn w:val="Normal"/>
    <w:next w:val="Body1"/>
    <w:qFormat/>
    <w:pPr>
      <w:numPr>
        <w:ilvl w:val="0"/>
        <w:numId w:val="1"/>
      </w:numPr>
      <w:jc w:val="both"/>
      <w:outlineLvl w:val="0"/>
    </w:pPr>
    <w:rPr>
      <w:kern w:val="2"/>
      <w:szCs w:val="20"/>
    </w:rPr>
  </w:style>
  <w:style w:type="paragraph" w:styleId="Schedule2">
    <w:name w:val="Schedule 2"/>
    <w:basedOn w:val="Normal"/>
    <w:next w:val="Body2"/>
    <w:qFormat/>
    <w:pPr>
      <w:numPr>
        <w:ilvl w:val="0"/>
        <w:numId w:val="1"/>
      </w:numPr>
      <w:jc w:val="both"/>
      <w:outlineLvl w:val="1"/>
    </w:pPr>
    <w:rPr>
      <w:kern w:val="2"/>
      <w:szCs w:val="20"/>
    </w:rPr>
  </w:style>
  <w:style w:type="paragraph" w:styleId="Schedule3">
    <w:name w:val="Schedule 3"/>
    <w:basedOn w:val="Normal"/>
    <w:next w:val="Body3"/>
    <w:qFormat/>
    <w:pPr>
      <w:numPr>
        <w:ilvl w:val="0"/>
        <w:numId w:val="1"/>
      </w:numPr>
      <w:jc w:val="both"/>
      <w:outlineLvl w:val="2"/>
    </w:pPr>
    <w:rPr>
      <w:kern w:val="2"/>
      <w:szCs w:val="20"/>
    </w:rPr>
  </w:style>
  <w:style w:type="paragraph" w:styleId="Schedule4">
    <w:name w:val="Schedule 4"/>
    <w:basedOn w:val="Normal"/>
    <w:next w:val="Body4"/>
    <w:qFormat/>
    <w:pPr>
      <w:numPr>
        <w:ilvl w:val="0"/>
        <w:numId w:val="1"/>
      </w:numPr>
      <w:jc w:val="both"/>
      <w:outlineLvl w:val="3"/>
    </w:pPr>
    <w:rPr>
      <w:kern w:val="2"/>
      <w:szCs w:val="20"/>
    </w:rPr>
  </w:style>
  <w:style w:type="paragraph" w:styleId="Schedule5">
    <w:name w:val="Schedule 5"/>
    <w:basedOn w:val="Normal"/>
    <w:next w:val="Body5"/>
    <w:qFormat/>
    <w:pPr>
      <w:numPr>
        <w:ilvl w:val="0"/>
        <w:numId w:val="1"/>
      </w:numPr>
      <w:jc w:val="both"/>
      <w:outlineLvl w:val="4"/>
    </w:pPr>
    <w:rPr>
      <w:kern w:val="2"/>
      <w:szCs w:val="20"/>
    </w:rPr>
  </w:style>
  <w:style w:type="paragraph" w:styleId="Schedule6">
    <w:name w:val="Schedule 6"/>
    <w:basedOn w:val="Normal"/>
    <w:next w:val="Body6"/>
    <w:qFormat/>
    <w:pPr>
      <w:numPr>
        <w:ilvl w:val="0"/>
        <w:numId w:val="1"/>
      </w:numPr>
      <w:jc w:val="both"/>
      <w:outlineLvl w:val="5"/>
    </w:pPr>
    <w:rPr>
      <w:kern w:val="2"/>
      <w:szCs w:val="20"/>
    </w:rPr>
  </w:style>
  <w:style w:type="paragraph" w:styleId="SubHead">
    <w:name w:val="SubHead"/>
    <w:basedOn w:val="Normal"/>
    <w:next w:val="Body"/>
    <w:qFormat/>
    <w:pPr>
      <w:keepNext w:val="true"/>
      <w:keepLines/>
      <w:spacing w:before="60" w:after="60"/>
      <w:jc w:val="both"/>
      <w:outlineLvl w:val="3"/>
    </w:pPr>
    <w:rPr>
      <w:b/>
      <w:kern w:val="2"/>
      <w:sz w:val="21"/>
      <w:szCs w:val="20"/>
    </w:rPr>
  </w:style>
  <w:style w:type="paragraph" w:styleId="TCLevel1">
    <w:name w:val="T+C Level 1"/>
    <w:basedOn w:val="Body"/>
    <w:next w:val="Normal"/>
    <w:qFormat/>
    <w:pPr>
      <w:keepNext w:val="true"/>
      <w:numPr>
        <w:ilvl w:val="0"/>
        <w:numId w:val="12"/>
      </w:numPr>
      <w:tabs>
        <w:tab w:val="left" w:pos="567" w:leader="none"/>
      </w:tabs>
      <w:spacing w:before="140" w:after="0"/>
      <w:outlineLvl w:val="0"/>
    </w:pPr>
    <w:rPr>
      <w:b/>
    </w:rPr>
  </w:style>
  <w:style w:type="paragraph" w:styleId="TCLevel2">
    <w:name w:val="T+C Level 2"/>
    <w:basedOn w:val="Body"/>
    <w:qFormat/>
    <w:pPr>
      <w:numPr>
        <w:ilvl w:val="0"/>
        <w:numId w:val="12"/>
      </w:numPr>
      <w:tabs>
        <w:tab w:val="clear" w:pos="567"/>
        <w:tab w:val="left" w:pos="1247" w:leader="none"/>
      </w:tabs>
      <w:outlineLvl w:val="1"/>
    </w:pPr>
    <w:rPr/>
  </w:style>
  <w:style w:type="paragraph" w:styleId="TCLevel3">
    <w:name w:val="T+C Level 3"/>
    <w:basedOn w:val="Body"/>
    <w:qFormat/>
    <w:pPr>
      <w:numPr>
        <w:ilvl w:val="0"/>
        <w:numId w:val="12"/>
      </w:numPr>
      <w:tabs>
        <w:tab w:val="clear" w:pos="567"/>
        <w:tab w:val="left" w:pos="2041" w:leader="none"/>
      </w:tabs>
      <w:outlineLvl w:val="2"/>
    </w:pPr>
    <w:rPr/>
  </w:style>
  <w:style w:type="paragraph" w:styleId="TCLevel4">
    <w:name w:val="T+C Level 4"/>
    <w:basedOn w:val="Body"/>
    <w:qFormat/>
    <w:pPr>
      <w:numPr>
        <w:ilvl w:val="0"/>
        <w:numId w:val="12"/>
      </w:numPr>
      <w:tabs>
        <w:tab w:val="clear" w:pos="567"/>
        <w:tab w:val="left" w:pos="2722" w:leader="none"/>
      </w:tabs>
      <w:ind w:hanging="680" w:start="2721" w:end="0"/>
      <w:outlineLvl w:val="3"/>
    </w:pPr>
    <w:rPr/>
  </w:style>
  <w:style w:type="paragraph" w:styleId="Table1">
    <w:name w:val="Table 1"/>
    <w:basedOn w:val="CellBody"/>
    <w:qFormat/>
    <w:pPr>
      <w:numPr>
        <w:ilvl w:val="0"/>
        <w:numId w:val="3"/>
      </w:numPr>
    </w:pPr>
    <w:rPr/>
  </w:style>
  <w:style w:type="paragraph" w:styleId="Table2">
    <w:name w:val="Table 2"/>
    <w:basedOn w:val="CellBody"/>
    <w:qFormat/>
    <w:pPr>
      <w:numPr>
        <w:ilvl w:val="0"/>
        <w:numId w:val="3"/>
      </w:numPr>
    </w:pPr>
    <w:rPr/>
  </w:style>
  <w:style w:type="paragraph" w:styleId="Table3">
    <w:name w:val="Table 3"/>
    <w:basedOn w:val="CellBody"/>
    <w:qFormat/>
    <w:pPr>
      <w:numPr>
        <w:ilvl w:val="0"/>
        <w:numId w:val="3"/>
      </w:numPr>
    </w:pPr>
    <w:rPr/>
  </w:style>
  <w:style w:type="paragraph" w:styleId="Table4">
    <w:name w:val="Table 4"/>
    <w:basedOn w:val="CellBody"/>
    <w:qFormat/>
    <w:pPr>
      <w:numPr>
        <w:ilvl w:val="0"/>
        <w:numId w:val="3"/>
      </w:numPr>
      <w:tabs>
        <w:tab w:val="left" w:pos="567" w:leader="none"/>
      </w:tabs>
    </w:pPr>
    <w:rPr/>
  </w:style>
  <w:style w:type="paragraph" w:styleId="Table5">
    <w:name w:val="Table 5"/>
    <w:basedOn w:val="CellBody"/>
    <w:qFormat/>
    <w:pPr>
      <w:numPr>
        <w:ilvl w:val="0"/>
        <w:numId w:val="3"/>
      </w:numPr>
    </w:pPr>
    <w:rPr/>
  </w:style>
  <w:style w:type="paragraph" w:styleId="Table6">
    <w:name w:val="Table 6"/>
    <w:basedOn w:val="CellBody"/>
    <w:qFormat/>
    <w:pPr>
      <w:numPr>
        <w:ilvl w:val="0"/>
        <w:numId w:val="3"/>
      </w:numPr>
      <w:tabs>
        <w:tab w:val="left" w:pos="567" w:leader="none"/>
      </w:tabs>
    </w:pPr>
    <w:rPr/>
  </w:style>
  <w:style w:type="paragraph" w:styleId="Tablealpha">
    <w:name w:val="Table alpha"/>
    <w:basedOn w:val="CellBody"/>
    <w:qFormat/>
    <w:pPr>
      <w:numPr>
        <w:ilvl w:val="0"/>
        <w:numId w:val="7"/>
      </w:numPr>
    </w:pPr>
    <w:rPr/>
  </w:style>
  <w:style w:type="paragraph" w:styleId="Tablebullet">
    <w:name w:val="Table bullet"/>
    <w:basedOn w:val="CellBody"/>
    <w:qFormat/>
    <w:pPr>
      <w:numPr>
        <w:ilvl w:val="0"/>
        <w:numId w:val="21"/>
      </w:numPr>
    </w:pPr>
    <w:rPr/>
  </w:style>
  <w:style w:type="paragraph" w:styleId="Tableroman">
    <w:name w:val="Table roman"/>
    <w:basedOn w:val="CellBody"/>
    <w:qFormat/>
    <w:pPr>
      <w:numPr>
        <w:ilvl w:val="0"/>
        <w:numId w:val="22"/>
      </w:numPr>
      <w:tabs>
        <w:tab w:val="left" w:pos="567" w:leader="none"/>
      </w:tabs>
    </w:pPr>
    <w:rPr/>
  </w:style>
  <w:style w:type="paragraph" w:styleId="FootnoteText">
    <w:name w:val="footnote text"/>
    <w:basedOn w:val="Normal"/>
    <w:pPr>
      <w:keepLines/>
      <w:tabs>
        <w:tab w:val="clear" w:pos="567"/>
        <w:tab w:val="left" w:pos="227" w:leader="none"/>
      </w:tabs>
      <w:spacing w:lineRule="atLeast" w:line="200" w:before="0" w:after="60"/>
      <w:ind w:hanging="227" w:start="227" w:end="0"/>
      <w:jc w:val="both"/>
    </w:pPr>
    <w:rPr>
      <w:kern w:val="2"/>
      <w:sz w:val="16"/>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2001-11-01T10:43:00Z</dcterms:created>
  <dc:creator>Any Authorised User</dc:creator>
  <dc:description/>
  <dc:language>en-CA</dc:language>
  <cp:lastModifiedBy>evans</cp:lastModifiedBy>
  <cp:lastPrinted>2001-11-01T11:48:00Z</cp:lastPrinted>
  <dcterms:modified xsi:type="dcterms:W3CDTF">2001-11-01T10:43:00Z</dcterms:modified>
  <cp:revision>2</cp:revision>
  <dc:subject/>
  <dc:title>Directors’ Duties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fied">
    <vt:lpwstr> </vt:lpwstr>
  </property>
  <property fmtid="{D5CDD505-2E9C-101B-9397-08002B2CF9AE}" pid="4" name="Last Modified">
    <vt:lpwstr> </vt:lpwstr>
  </property>
  <property fmtid="{D5CDD505-2E9C-101B-9397-08002B2CF9AE}" pid="5" name="Template Version">
    <vt:lpwstr>O2.51</vt:lpwstr>
  </property>
  <property fmtid="{D5CDD505-2E9C-101B-9397-08002B2CF9AE}" pid="6" name="Version">
    <vt:lpwstr> </vt:lpwstr>
  </property>
</Properties>
</file>