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lang w:eastAsia="en-US"/>
        </w:rPr>
      </w:pPr>
      <w:r>
        <w:rPr>
          <w:sz w:val="28"/>
          <w:lang w:eastAsia="en-US"/>
        </w:rPr>
        <w:t>1.4 Summary in English</w:t>
      </w:r>
    </w:p>
    <w:p>
      <w:pPr>
        <w:pStyle w:val="Normal"/>
        <w:rPr>
          <w:b/>
          <w:sz w:val="26"/>
          <w:lang w:eastAsia="en-US"/>
        </w:rPr>
      </w:pPr>
      <w:r>
        <w:rPr>
          <w:b/>
          <w:sz w:val="26"/>
          <w:lang w:eastAsia="en-US"/>
        </w:rPr>
        <w:t>1.4.1 The committee’s appointment and work</w:t>
      </w:r>
    </w:p>
    <w:p>
      <w:pPr>
        <w:pStyle w:val="Normal"/>
        <w:rPr>
          <w:sz w:val="24"/>
          <w:lang w:eastAsia="en-US"/>
        </w:rPr>
      </w:pPr>
      <w:r>
        <w:rPr>
          <w:sz w:val="24"/>
          <w:lang w:eastAsia="en-US"/>
        </w:rPr>
        <w:t>The commodity derivatives committee was appointed through the Ministry of</w:t>
      </w:r>
    </w:p>
    <w:p>
      <w:pPr>
        <w:pStyle w:val="Normal"/>
        <w:rPr>
          <w:sz w:val="24"/>
          <w:lang w:eastAsia="en-US"/>
        </w:rPr>
      </w:pPr>
      <w:r>
        <w:rPr>
          <w:sz w:val="24"/>
          <w:lang w:eastAsia="en-US"/>
        </w:rPr>
        <w:t>Finance’s letter of 25 September 1998 with the following mandate:</w:t>
      </w:r>
    </w:p>
    <w:p>
      <w:pPr>
        <w:pStyle w:val="Normal"/>
        <w:ind w:firstLine="720" w:end="0"/>
        <w:rPr>
          <w:sz w:val="24"/>
          <w:lang w:eastAsia="en-US"/>
        </w:rPr>
      </w:pPr>
      <w:r>
        <w:rPr>
          <w:sz w:val="24"/>
          <w:lang w:eastAsia="en-US"/>
        </w:rPr>
      </w:r>
    </w:p>
    <w:p>
      <w:pPr>
        <w:pStyle w:val="Normal"/>
        <w:ind w:firstLine="720" w:end="0"/>
        <w:rPr>
          <w:lang w:eastAsia="en-US"/>
        </w:rPr>
      </w:pPr>
      <w:r>
        <w:rPr>
          <w:lang w:eastAsia="en-US"/>
        </w:rPr>
        <w:t>“</w:t>
      </w:r>
      <w:r>
        <w:rPr>
          <w:lang w:eastAsia="en-US"/>
        </w:rPr>
        <w:t>The working group shall describe trade in commodity derivatives in Norway,</w:t>
      </w:r>
    </w:p>
    <w:p>
      <w:pPr>
        <w:pStyle w:val="Normal"/>
        <w:ind w:start="720" w:end="0"/>
        <w:rPr>
          <w:lang w:eastAsia="en-US"/>
        </w:rPr>
      </w:pPr>
      <w:r>
        <w:rPr>
          <w:lang w:eastAsia="en-US"/>
        </w:rPr>
        <w:t>including a description of the activity of various operators and marketplaces. The description shall include settlement activity in the commodity derivatives trading market.</w:t>
      </w:r>
    </w:p>
    <w:p>
      <w:pPr>
        <w:pStyle w:val="Normal"/>
        <w:rPr>
          <w:lang w:eastAsia="en-US"/>
        </w:rPr>
      </w:pPr>
      <w:r>
        <w:rPr>
          <w:lang w:eastAsia="en-US"/>
        </w:rPr>
      </w:r>
    </w:p>
    <w:p>
      <w:pPr>
        <w:pStyle w:val="Normal"/>
        <w:ind w:start="720" w:end="0"/>
        <w:rPr>
          <w:lang w:eastAsia="en-US"/>
        </w:rPr>
      </w:pPr>
      <w:r>
        <w:rPr>
          <w:lang w:eastAsia="en-US"/>
        </w:rPr>
        <w:t>Further, the working group shall evaluate the need for public regulation of such trade and settlement activity related to it.</w:t>
      </w:r>
    </w:p>
    <w:p>
      <w:pPr>
        <w:pStyle w:val="Normal"/>
        <w:rPr>
          <w:lang w:eastAsia="en-US"/>
        </w:rPr>
      </w:pPr>
      <w:r>
        <w:rPr>
          <w:lang w:eastAsia="en-US"/>
        </w:rPr>
      </w:r>
    </w:p>
    <w:p>
      <w:pPr>
        <w:pStyle w:val="Normal"/>
        <w:ind w:start="720" w:end="0"/>
        <w:rPr>
          <w:lang w:eastAsia="en-US"/>
        </w:rPr>
      </w:pPr>
      <w:r>
        <w:rPr>
          <w:lang w:eastAsia="en-US"/>
        </w:rPr>
        <w:t>Finally, the working group shall draw up a precise proposal for rules relating to this field.</w:t>
      </w:r>
    </w:p>
    <w:p>
      <w:pPr>
        <w:pStyle w:val="Normal"/>
        <w:ind w:start="720" w:end="0"/>
        <w:rPr>
          <w:lang w:eastAsia="en-US"/>
        </w:rPr>
      </w:pPr>
      <w:r>
        <w:rPr>
          <w:lang w:eastAsia="en-US"/>
        </w:rPr>
      </w:r>
    </w:p>
    <w:p>
      <w:pPr>
        <w:pStyle w:val="Normal"/>
        <w:ind w:firstLine="720" w:end="0"/>
        <w:rPr>
          <w:lang w:eastAsia="en-US"/>
        </w:rPr>
      </w:pPr>
      <w:r>
        <w:rPr>
          <w:lang w:eastAsia="en-US"/>
        </w:rPr>
        <w:t>The Minister can alter, expand or provide a more precise formulation of the</w:t>
      </w:r>
    </w:p>
    <w:p>
      <w:pPr>
        <w:pStyle w:val="Normal"/>
        <w:ind w:firstLine="720" w:end="0"/>
        <w:rPr>
          <w:lang w:eastAsia="en-US"/>
        </w:rPr>
      </w:pPr>
      <w:r>
        <w:rPr>
          <w:lang w:eastAsia="en-US"/>
        </w:rPr>
        <w:t>mandate.”</w:t>
      </w:r>
    </w:p>
    <w:p>
      <w:pPr>
        <w:pStyle w:val="Normal"/>
        <w:rPr>
          <w:sz w:val="24"/>
          <w:lang w:eastAsia="en-US"/>
        </w:rPr>
      </w:pPr>
      <w:r>
        <w:rPr>
          <w:sz w:val="24"/>
          <w:lang w:eastAsia="en-US"/>
        </w:rPr>
      </w:r>
    </w:p>
    <w:p>
      <w:pPr>
        <w:pStyle w:val="Normal"/>
        <w:rPr>
          <w:sz w:val="24"/>
          <w:lang w:eastAsia="en-US"/>
        </w:rPr>
      </w:pPr>
      <w:r>
        <w:rPr>
          <w:sz w:val="24"/>
          <w:lang w:eastAsia="en-US"/>
        </w:rPr>
        <w:t>The working group was chaired by Gunnvald Grønvik, Director of the Financial Instruments and Payment Systems Department of Norges Bank, and has included participants from relevant ministries, supervisory authorities, exchanges, as well as enterprises that broker commodity derivatives. The secretariat has been recruited from Norges Bank and the Banking, Insurance and Securities Commission (Kredittilsynet).</w:t>
      </w:r>
    </w:p>
    <w:p>
      <w:pPr>
        <w:pStyle w:val="Normal"/>
        <w:rPr>
          <w:sz w:val="24"/>
          <w:lang w:eastAsia="en-US"/>
        </w:rPr>
      </w:pPr>
      <w:r>
        <w:rPr>
          <w:sz w:val="24"/>
          <w:lang w:eastAsia="en-US"/>
        </w:rPr>
      </w:r>
    </w:p>
    <w:p>
      <w:pPr>
        <w:pStyle w:val="Normal"/>
        <w:rPr>
          <w:sz w:val="24"/>
          <w:lang w:eastAsia="en-US"/>
        </w:rPr>
      </w:pPr>
      <w:r>
        <w:rPr>
          <w:sz w:val="24"/>
          <w:lang w:eastAsia="en-US"/>
        </w:rPr>
        <w:t>In connection with the work on its report, the committee has had meetings with Norwegian enterprises that make use of commodity derivatives and companies that broker these derivatives. The chairman and secretaries have met with the Financial Services Authorities (FSA) and other authorities, institutions and participants in the commodity derivatives market in London, and the chairman has also visited the Commodity Futures Trading Commission (CFTC) in Washington D.C. There has also been contact with parties interested in possible new commodity derivatives markets.</w:t>
      </w:r>
    </w:p>
    <w:p>
      <w:pPr>
        <w:pStyle w:val="Normal"/>
        <w:rPr>
          <w:sz w:val="24"/>
          <w:lang w:eastAsia="en-US"/>
        </w:rPr>
      </w:pPr>
      <w:r>
        <w:rPr>
          <w:sz w:val="24"/>
          <w:lang w:eastAsia="en-US"/>
        </w:rPr>
      </w:r>
    </w:p>
    <w:p>
      <w:pPr>
        <w:pStyle w:val="Normal"/>
        <w:rPr>
          <w:sz w:val="24"/>
          <w:lang w:eastAsia="en-US"/>
        </w:rPr>
      </w:pPr>
      <w:r>
        <w:rPr>
          <w:sz w:val="24"/>
          <w:lang w:eastAsia="en-US"/>
        </w:rPr>
        <w:t>The committee hold its final meeting 20 August 1999, and the final report containing the following main points and proposals was submitted to the Ministry of Finance on 28 September 1999.</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b/>
          <w:sz w:val="26"/>
          <w:lang w:eastAsia="en-US"/>
        </w:rPr>
      </w:pPr>
      <w:r>
        <w:rPr>
          <w:b/>
          <w:sz w:val="26"/>
          <w:lang w:eastAsia="en-US"/>
        </w:rPr>
        <w:t>1.4.2 Summary of the committee’s report</w:t>
      </w:r>
    </w:p>
    <w:p>
      <w:pPr>
        <w:pStyle w:val="Normal"/>
        <w:rPr>
          <w:b/>
          <w:sz w:val="24"/>
          <w:lang w:eastAsia="en-US"/>
        </w:rPr>
      </w:pPr>
      <w:r>
        <w:rPr>
          <w:b/>
          <w:sz w:val="24"/>
          <w:lang w:eastAsia="en-US"/>
        </w:rPr>
      </w:r>
    </w:p>
    <w:p>
      <w:pPr>
        <w:pStyle w:val="Normal"/>
        <w:rPr>
          <w:sz w:val="24"/>
          <w:lang w:eastAsia="en-US"/>
        </w:rPr>
      </w:pPr>
      <w:r>
        <w:rPr>
          <w:sz w:val="24"/>
          <w:lang w:eastAsia="en-US"/>
        </w:rPr>
        <w:t>Following the introduction and summary, Chapter 2 of the report reviews the</w:t>
      </w:r>
    </w:p>
    <w:p>
      <w:pPr>
        <w:pStyle w:val="Normal"/>
        <w:rPr>
          <w:sz w:val="24"/>
          <w:lang w:eastAsia="en-US"/>
        </w:rPr>
      </w:pPr>
      <w:r>
        <w:rPr>
          <w:sz w:val="24"/>
          <w:lang w:eastAsia="en-US"/>
        </w:rPr>
        <w:t>development of commodity derivatives markets (globally), and sheds light on the needs covered by these markets. The main point is that commodity derivatives can contribute to promoting price security. This facilitates planning, and can thereby contribute to greater economic efficiency.</w:t>
      </w:r>
    </w:p>
    <w:p>
      <w:pPr>
        <w:pStyle w:val="Normal"/>
        <w:rPr>
          <w:sz w:val="24"/>
          <w:lang w:eastAsia="en-US"/>
        </w:rPr>
      </w:pPr>
      <w:r>
        <w:rPr>
          <w:sz w:val="24"/>
          <w:lang w:eastAsia="en-US"/>
        </w:rPr>
      </w:r>
    </w:p>
    <w:p>
      <w:pPr>
        <w:pStyle w:val="Normal"/>
        <w:rPr>
          <w:sz w:val="24"/>
          <w:lang w:eastAsia="en-US"/>
        </w:rPr>
      </w:pPr>
      <w:r>
        <w:rPr>
          <w:sz w:val="24"/>
          <w:lang w:eastAsia="en-US"/>
        </w:rPr>
        <w:t xml:space="preserve">Chapter 3 describes Norwegian commodity derivatives activities, and begins </w:t>
      </w:r>
    </w:p>
    <w:p>
      <w:pPr>
        <w:pStyle w:val="Normal"/>
        <w:rPr>
          <w:sz w:val="24"/>
          <w:lang w:eastAsia="en-US"/>
        </w:rPr>
      </w:pPr>
      <w:r>
        <w:rPr>
          <w:sz w:val="24"/>
          <w:lang w:eastAsia="en-US"/>
        </w:rPr>
        <w:t>with a discussion of some markets where Norwegian participants are end-users and are used to cover hedging requirements. Examples are Statkorn’s price hedging of grain imports and Norsk Hydro ASA's hedging positions in aluminium trading. This section is followed by a description of markets that include Norwegian intermediaries. The example presented here is Den norske Bank ASA, which brokers petroleum derivatives on the International Petroleum Exchange in London. Finally, a detailed review is provided of the Norwegian market for a commodity derivative - the power market. The review begins with an outline of activities in the market for the underlying instrument, which is the Nordic spot market organised by Nord Pool ASA.</w:t>
      </w:r>
    </w:p>
    <w:p>
      <w:pPr>
        <w:pStyle w:val="Normal"/>
        <w:rPr>
          <w:sz w:val="24"/>
          <w:lang w:eastAsia="en-US"/>
        </w:rPr>
      </w:pPr>
      <w:r>
        <w:rPr>
          <w:sz w:val="24"/>
          <w:lang w:eastAsia="en-US"/>
        </w:rPr>
        <w:t>This is followed by an account of derivatives trading, both in the marketplace</w:t>
      </w:r>
    </w:p>
    <w:p>
      <w:pPr>
        <w:pStyle w:val="Normal"/>
        <w:rPr>
          <w:sz w:val="24"/>
          <w:lang w:eastAsia="en-US"/>
        </w:rPr>
      </w:pPr>
      <w:r>
        <w:rPr>
          <w:sz w:val="24"/>
          <w:lang w:eastAsia="en-US"/>
        </w:rPr>
        <w:t>administered by Nord Pool ASA, and extensive OTC trading through intermediaries.</w:t>
      </w:r>
    </w:p>
    <w:p>
      <w:pPr>
        <w:pStyle w:val="Normal"/>
        <w:rPr>
          <w:sz w:val="24"/>
          <w:lang w:eastAsia="en-US"/>
        </w:rPr>
      </w:pPr>
      <w:r>
        <w:rPr>
          <w:sz w:val="24"/>
          <w:lang w:eastAsia="en-US"/>
        </w:rPr>
      </w:r>
    </w:p>
    <w:p>
      <w:pPr>
        <w:pStyle w:val="Normal"/>
        <w:rPr>
          <w:sz w:val="24"/>
          <w:lang w:eastAsia="en-US"/>
        </w:rPr>
      </w:pPr>
      <w:r>
        <w:rPr>
          <w:sz w:val="24"/>
          <w:lang w:eastAsia="en-US"/>
        </w:rPr>
        <w:t xml:space="preserve">Chapter 4 discusses "events" in commodity derivatives markets, with a view to revealing any need for regulation. Among the international "events" that are discussed are the losses of the German company Metalgesellschaft in connection with petroleum derivatives, the Japanese company Sumitomo's manipulation of the copper market, and the tulip crash in the Netherlands in 1637. In Norway, "events" are represented by a fraud conviction for the company Fearnley Futures AS, which can still be appealed, in connection with freight derivatives in 1998. One bankruptcy case in the power market is also noted, and finally, the particularly high market turnover in one week in </w:t>
      </w:r>
    </w:p>
    <w:p>
      <w:pPr>
        <w:pStyle w:val="Normal"/>
        <w:rPr>
          <w:sz w:val="24"/>
          <w:lang w:eastAsia="en-US"/>
        </w:rPr>
      </w:pPr>
      <w:r>
        <w:rPr>
          <w:sz w:val="24"/>
          <w:lang w:eastAsia="en-US"/>
        </w:rPr>
        <w:t>April 1999 is discussed.</w:t>
      </w:r>
    </w:p>
    <w:p>
      <w:pPr>
        <w:pStyle w:val="Normal"/>
        <w:rPr>
          <w:sz w:val="24"/>
          <w:lang w:eastAsia="en-US"/>
        </w:rPr>
      </w:pPr>
      <w:r>
        <w:rPr>
          <w:sz w:val="24"/>
          <w:lang w:eastAsia="en-US"/>
        </w:rPr>
      </w:r>
    </w:p>
    <w:p>
      <w:pPr>
        <w:pStyle w:val="Normal"/>
        <w:rPr>
          <w:sz w:val="24"/>
          <w:lang w:eastAsia="en-US"/>
        </w:rPr>
      </w:pPr>
      <w:r>
        <w:rPr>
          <w:sz w:val="24"/>
          <w:lang w:eastAsia="en-US"/>
        </w:rPr>
        <w:t>Chapter 5 concludes the economic part of the report with an attempt to clarify any economic functions that should be regulated. The conclusion is that the market is dominated by professional customers (also as end-users), so that there is no need for regulation in the interest of customer protection - in the narrow sense, or in the interest of financial stability. However, “secure and orderly trading” should be ensured. This means that there must be security for settlements and for equitable treatment on the part of the intermediary, and there must also be rules to ensure transparency in the market, among other things in order to uncover attempts at market manipulation.</w:t>
      </w:r>
    </w:p>
    <w:p>
      <w:pPr>
        <w:pStyle w:val="Normal"/>
        <w:rPr>
          <w:sz w:val="24"/>
          <w:lang w:eastAsia="en-US"/>
        </w:rPr>
      </w:pPr>
      <w:r>
        <w:rPr>
          <w:sz w:val="24"/>
          <w:lang w:eastAsia="en-US"/>
        </w:rPr>
      </w:r>
    </w:p>
    <w:p>
      <w:pPr>
        <w:pStyle w:val="Normal"/>
        <w:rPr>
          <w:sz w:val="24"/>
          <w:lang w:eastAsia="en-US"/>
        </w:rPr>
      </w:pPr>
      <w:r>
        <w:rPr>
          <w:sz w:val="24"/>
          <w:lang w:eastAsia="en-US"/>
        </w:rPr>
        <w:t>Chapter 6 reviews current legislation in Norway, and provides a summary of issues concerning commodity derivatives in connection with the deliberations on the Securities Trading Act. A review of international law in this area is also provided, including a review of an international recommendation for standards to regulate commodity derivatives (the Tokyo Declaration). There is also some discussion of possible developments in the EU/EEA. The current status is that a proposal has been tabled, entailing that investment firms' positions in commodity derivatives markets should be included in capital adequacy rules for market risk in the same manner as positions in financial derivatives. There also appear to be some contacts (between the Netherlands and the UK) aimed at establishing an EU regulation of commodity derivatives. In Finland, Sweden and Denmark, commodity derivatives are defined as financial instruments, and are hence subject to the same regulations as trading in other</w:t>
      </w:r>
    </w:p>
    <w:p>
      <w:pPr>
        <w:pStyle w:val="Normal"/>
        <w:rPr>
          <w:sz w:val="24"/>
          <w:lang w:eastAsia="en-US"/>
        </w:rPr>
      </w:pPr>
      <w:r>
        <w:rPr>
          <w:sz w:val="24"/>
          <w:lang w:eastAsia="en-US"/>
        </w:rPr>
        <w:t>derivatives. However, these countries do not have a separate marketplace for</w:t>
      </w:r>
    </w:p>
    <w:p>
      <w:pPr>
        <w:pStyle w:val="Normal"/>
        <w:rPr>
          <w:sz w:val="24"/>
          <w:lang w:eastAsia="en-US"/>
        </w:rPr>
      </w:pPr>
      <w:r>
        <w:rPr>
          <w:sz w:val="24"/>
          <w:lang w:eastAsia="en-US"/>
        </w:rPr>
        <w:t>commodity derivatives, and this limits the value of the preparatory work in these countries.</w:t>
      </w:r>
    </w:p>
    <w:p>
      <w:pPr>
        <w:pStyle w:val="Normal"/>
        <w:rPr>
          <w:sz w:val="24"/>
          <w:lang w:eastAsia="en-US"/>
        </w:rPr>
      </w:pPr>
      <w:r>
        <w:rPr>
          <w:sz w:val="24"/>
          <w:lang w:eastAsia="en-US"/>
        </w:rPr>
      </w:r>
    </w:p>
    <w:p>
      <w:pPr>
        <w:pStyle w:val="Normal"/>
        <w:rPr>
          <w:sz w:val="24"/>
          <w:lang w:eastAsia="en-US"/>
        </w:rPr>
      </w:pPr>
      <w:r>
        <w:rPr>
          <w:sz w:val="24"/>
          <w:lang w:eastAsia="en-US"/>
        </w:rPr>
        <w:t>Chapter 7 presents the committee's proposals. This is discussed in further detail in the following section, but it is proposed that the definition of financial instruments in the Securities Trading Act be expanded to include commodity derivatives, and that a new category of investment firm be defined. This type of investment firm would only be granted authorisation for providing investment services in commodity derivatives, and its activities would then be subject to supervision.</w:t>
      </w:r>
    </w:p>
    <w:p>
      <w:pPr>
        <w:pStyle w:val="Normal"/>
        <w:rPr>
          <w:sz w:val="24"/>
          <w:lang w:eastAsia="en-US"/>
        </w:rPr>
      </w:pPr>
      <w:r>
        <w:rPr>
          <w:sz w:val="24"/>
          <w:lang w:eastAsia="en-US"/>
        </w:rPr>
      </w:r>
    </w:p>
    <w:p>
      <w:pPr>
        <w:pStyle w:val="Normal"/>
        <w:rPr>
          <w:sz w:val="24"/>
          <w:lang w:eastAsia="en-US"/>
        </w:rPr>
      </w:pPr>
      <w:r>
        <w:rPr>
          <w:sz w:val="24"/>
          <w:lang w:eastAsia="en-US"/>
        </w:rPr>
        <w:t>Chapter 8 presents economic and administrative implications. The consequences for general government budgets will be limited, since the Banking, Insurance and Securities Commission charges a supervision fee to cover costs. For operators, regulation could lead to framework conditions which ensure that they remain in Norway. Regulation could also lead to changes in the manner in which intermediary operations are conducted, as the requirements for documented routines and the equitable treatment of customers will be strengthened. It must be assumed that this will improve competition, and thus contribute to greater efficiency.</w:t>
      </w:r>
    </w:p>
    <w:p>
      <w:pPr>
        <w:pStyle w:val="Normal"/>
        <w:rPr>
          <w:sz w:val="24"/>
          <w:lang w:eastAsia="en-US"/>
        </w:rPr>
      </w:pPr>
      <w:r>
        <w:rPr>
          <w:sz w:val="24"/>
          <w:lang w:eastAsia="en-US"/>
        </w:rPr>
      </w:r>
    </w:p>
    <w:p>
      <w:pPr>
        <w:pStyle w:val="Normal"/>
        <w:rPr>
          <w:sz w:val="24"/>
          <w:lang w:eastAsia="en-US"/>
        </w:rPr>
      </w:pPr>
      <w:r>
        <w:rPr>
          <w:sz w:val="24"/>
          <w:lang w:eastAsia="en-US"/>
        </w:rPr>
        <w:t xml:space="preserve">Chapter 9 discusses comments to the statutory amendments and adaptations proposed by the committee in Chapter 10. </w:t>
      </w:r>
    </w:p>
    <w:p>
      <w:pPr>
        <w:pStyle w:val="Normal"/>
        <w:rPr>
          <w:sz w:val="24"/>
          <w:lang w:eastAsia="en-US"/>
        </w:rPr>
      </w:pPr>
      <w:r>
        <w:rPr>
          <w:sz w:val="24"/>
          <w:lang w:eastAsia="en-US"/>
        </w:rPr>
      </w:r>
    </w:p>
    <w:p>
      <w:pPr>
        <w:pStyle w:val="Normal"/>
        <w:rPr>
          <w:sz w:val="24"/>
          <w:lang w:eastAsia="en-US"/>
        </w:rPr>
      </w:pPr>
      <w:r>
        <w:rPr>
          <w:sz w:val="24"/>
          <w:lang w:eastAsia="en-US"/>
        </w:rPr>
        <w:t>Finally, there are the annexes. Annex 1 is the Tokyo Declaration, which is an attempt to formulate an international standard for oversight of commodity derivatives markets. Annex 2 is a summary of two BIS reports concerning settlement of derivatives transactions taking place over bourses and OTC respectively. Annex 3 consists of the Securities Trading Act in the form it has after Chapter 2a came into effect on 1 September 1999.</w:t>
      </w:r>
    </w:p>
    <w:p>
      <w:pPr>
        <w:pStyle w:val="Normal"/>
        <w:rPr>
          <w:sz w:val="24"/>
          <w:lang w:eastAsia="en-US"/>
        </w:rPr>
      </w:pPr>
      <w:r>
        <w:rPr>
          <w:sz w:val="24"/>
          <w:lang w:eastAsia="en-US"/>
        </w:rPr>
      </w:r>
    </w:p>
    <w:p>
      <w:pPr>
        <w:pStyle w:val="Normal"/>
        <w:rPr>
          <w:b/>
          <w:sz w:val="26"/>
          <w:lang w:eastAsia="en-US"/>
        </w:rPr>
      </w:pPr>
      <w:r>
        <w:rPr>
          <w:b/>
          <w:sz w:val="26"/>
          <w:lang w:eastAsia="en-US"/>
        </w:rPr>
        <w:t>1.4.3 The committee's proposals</w:t>
      </w:r>
    </w:p>
    <w:p>
      <w:pPr>
        <w:pStyle w:val="Normal"/>
        <w:rPr>
          <w:b/>
          <w:sz w:val="24"/>
          <w:lang w:eastAsia="en-US"/>
        </w:rPr>
      </w:pPr>
      <w:r>
        <w:rPr>
          <w:b/>
          <w:sz w:val="24"/>
          <w:lang w:eastAsia="en-US"/>
        </w:rPr>
      </w:r>
    </w:p>
    <w:p>
      <w:pPr>
        <w:pStyle w:val="Normal"/>
        <w:rPr>
          <w:sz w:val="24"/>
          <w:lang w:eastAsia="en-US"/>
        </w:rPr>
      </w:pPr>
      <w:r>
        <w:rPr>
          <w:sz w:val="24"/>
          <w:lang w:eastAsia="en-US"/>
        </w:rPr>
        <w:t>On the basis of the fundamental hypothesis in Chapter 5 of ensuring "secure and orderly trading", it is assumed that regulation must be incorporated in the Securities Trading Act, unless other considerations should indicate otherwise. Such considerations have not been found, and it is therefore proposed that the list of financial instruments be expanded to include "commodity derivatives". This means that the rules of the Act shall apply in principle unless exemptions or adaptations are made.</w:t>
      </w:r>
    </w:p>
    <w:p>
      <w:pPr>
        <w:pStyle w:val="Normal"/>
        <w:rPr>
          <w:sz w:val="24"/>
          <w:lang w:eastAsia="en-US"/>
        </w:rPr>
      </w:pPr>
      <w:r>
        <w:rPr>
          <w:sz w:val="24"/>
          <w:lang w:eastAsia="en-US"/>
        </w:rPr>
      </w:r>
    </w:p>
    <w:p>
      <w:pPr>
        <w:pStyle w:val="Normal"/>
        <w:rPr>
          <w:sz w:val="24"/>
          <w:lang w:eastAsia="en-US"/>
        </w:rPr>
      </w:pPr>
      <w:r>
        <w:rPr>
          <w:sz w:val="24"/>
          <w:lang w:eastAsia="en-US"/>
        </w:rPr>
        <w:t>One main point here is that the rules presupposing an unequivocal "issuer" of the financial instrument are not appropriate. This applies, for example, to the</w:t>
      </w:r>
    </w:p>
    <w:p>
      <w:pPr>
        <w:pStyle w:val="Normal"/>
        <w:rPr>
          <w:sz w:val="24"/>
          <w:lang w:eastAsia="en-US"/>
        </w:rPr>
      </w:pPr>
      <w:r>
        <w:rPr>
          <w:sz w:val="24"/>
          <w:lang w:eastAsia="en-US"/>
        </w:rPr>
        <w:t>requirements in the Act relating to disclosure of ownership interests and mandatory offers. For the same reason, rules on insider trading fall into an intermediate category, since inside information cannot be obtained from any issuer, even though other types of inside information may exist.</w:t>
      </w:r>
    </w:p>
    <w:p>
      <w:pPr>
        <w:pStyle w:val="Normal"/>
        <w:rPr>
          <w:sz w:val="24"/>
          <w:lang w:eastAsia="en-US"/>
        </w:rPr>
      </w:pPr>
      <w:r>
        <w:rPr>
          <w:sz w:val="24"/>
          <w:lang w:eastAsia="en-US"/>
        </w:rPr>
      </w:r>
    </w:p>
    <w:p>
      <w:pPr>
        <w:pStyle w:val="Normal"/>
        <w:rPr>
          <w:sz w:val="24"/>
          <w:lang w:eastAsia="en-US"/>
        </w:rPr>
      </w:pPr>
      <w:r>
        <w:rPr>
          <w:sz w:val="24"/>
          <w:lang w:eastAsia="en-US"/>
        </w:rPr>
        <w:t>The Securities Trading Act presupposes a licence to engage in intermediary activities, and in order to avoid excluding energy brokers from the market, a new section is proposed providing the opportunity to apply for a licence for providing investment services solely in commodity derivatives. The considerations that should apply with respect to the stipulation of start-up capital, capital adequacy and provision of collateral are discussed. This will be of importance to the work of the Banking, Insurance and Securities Commission and the Ministry of Finance on such matters.</w:t>
      </w:r>
    </w:p>
    <w:p>
      <w:pPr>
        <w:pStyle w:val="Normal"/>
        <w:rPr>
          <w:sz w:val="24"/>
          <w:lang w:eastAsia="en-US"/>
        </w:rPr>
      </w:pPr>
      <w:r>
        <w:rPr>
          <w:sz w:val="24"/>
          <w:lang w:eastAsia="en-US"/>
        </w:rPr>
        <w:t>Since commodity derivatives do not fall under the EEA agreement, there is also a discussion of the position that should be adopted by the Norwegian authorities regarding intermediary activities into Norway from other countries, and the reverse.  The proposal is to attempt to establish a regime corresponding to that applying to activities involving other financial instruments.</w:t>
      </w:r>
    </w:p>
    <w:p>
      <w:pPr>
        <w:pStyle w:val="Normal"/>
        <w:rPr>
          <w:sz w:val="24"/>
          <w:lang w:eastAsia="en-US"/>
        </w:rPr>
      </w:pPr>
      <w:r>
        <w:rPr>
          <w:sz w:val="24"/>
          <w:lang w:eastAsia="en-US"/>
        </w:rPr>
      </w:r>
    </w:p>
    <w:p>
      <w:pPr>
        <w:pStyle w:val="Normal"/>
        <w:rPr>
          <w:sz w:val="24"/>
          <w:lang w:eastAsia="en-US"/>
        </w:rPr>
      </w:pPr>
      <w:r>
        <w:rPr>
          <w:sz w:val="24"/>
          <w:lang w:eastAsia="en-US"/>
        </w:rPr>
        <w:t>The committee has also to some extent evaluated the provisions on marketplaces and markets following from the draft for the new Stock Exchange Act. According to the proposal, commodity derivatives markets may be organised as authorised, licensed marketplaces, or probably also as exchanges. It has been established that this will be sufficient to ensure "secure and orderly trading”. In this connection, the committee also discusses the considerations that should be taken into account in the establishment of any markets with "new" products as the underlying instrument for the derivative.</w:t>
      </w:r>
    </w:p>
    <w:p>
      <w:pPr>
        <w:pStyle w:val="Normal"/>
        <w:rPr>
          <w:sz w:val="24"/>
          <w:lang w:eastAsia="en-US"/>
        </w:rPr>
      </w:pPr>
      <w:r>
        <w:rPr>
          <w:sz w:val="24"/>
          <w:lang w:eastAsia="en-US"/>
        </w:rPr>
      </w:r>
    </w:p>
    <w:p>
      <w:pPr>
        <w:pStyle w:val="Normal"/>
        <w:rPr>
          <w:sz w:val="24"/>
          <w:lang w:eastAsia="en-US"/>
        </w:rPr>
      </w:pPr>
      <w:r>
        <w:rPr>
          <w:sz w:val="24"/>
          <w:lang w:eastAsia="en-US"/>
        </w:rPr>
        <w:t>It is important to reduce the risk in the activity and in its settlement. The committee assumes in this respect that the rules in the Securities Trading Act concerning settlements are appropriate, and it is pointed out that it is very important that the Securities Trading Act's rules on netting also be applied to commodity derivatives. In the absence of provisions regarding netting, the possibility that commodity derivatives activities move out of the country in the long term cannot be ruled out.</w:t>
      </w:r>
    </w:p>
    <w:p>
      <w:pPr>
        <w:pStyle w:val="Normal"/>
        <w:rPr>
          <w:sz w:val="24"/>
          <w:lang w:eastAsia="en-US"/>
        </w:rPr>
      </w:pPr>
      <w:r>
        <w:rPr>
          <w:sz w:val="24"/>
          <w:lang w:eastAsia="en-US"/>
        </w:rPr>
      </w:r>
    </w:p>
    <w:p>
      <w:pPr>
        <w:pStyle w:val="Normal"/>
        <w:rPr>
          <w:sz w:val="24"/>
          <w:lang w:eastAsia="en-US"/>
        </w:rPr>
      </w:pPr>
      <w:r>
        <w:rPr>
          <w:sz w:val="24"/>
          <w:lang w:eastAsia="en-US"/>
        </w:rPr>
        <w:t>The committee assumes that the penal provisions of the Act can also apply to</w:t>
      </w:r>
    </w:p>
    <w:p>
      <w:pPr>
        <w:pStyle w:val="Normal"/>
        <w:rPr>
          <w:sz w:val="24"/>
          <w:lang w:eastAsia="en-US"/>
        </w:rPr>
      </w:pPr>
      <w:r>
        <w:rPr>
          <w:sz w:val="24"/>
          <w:lang w:eastAsia="en-US"/>
        </w:rPr>
        <w:t>commodity derivatives activities, and it further assumes that the Banking, Insurance and Securities Commission will be given responsibility for supervising investment firms’ commodity derivatives activities.</w:t>
      </w:r>
    </w:p>
    <w:p>
      <w:pPr>
        <w:pStyle w:val="Normal"/>
        <w:rPr>
          <w:sz w:val="24"/>
          <w:lang w:eastAsia="en-US"/>
        </w:rPr>
      </w:pPr>
      <w:r>
        <w:rPr>
          <w:sz w:val="24"/>
          <w:lang w:eastAsia="en-US"/>
        </w:rPr>
      </w:r>
    </w:p>
    <w:p>
      <w:pPr>
        <w:pStyle w:val="Normal"/>
        <w:rPr>
          <w:sz w:val="24"/>
          <w:lang w:eastAsia="en-US"/>
        </w:rPr>
      </w:pPr>
      <w:r>
        <w:rPr>
          <w:sz w:val="24"/>
          <w:lang w:eastAsia="en-US"/>
        </w:rPr>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1999-09-28T09:49:00Z</dcterms:created>
  <dc:creator>Enron Office User</dc:creator>
  <dc:description/>
  <dc:language>en-CA</dc:language>
  <cp:lastModifiedBy>Enron Office User</cp:lastModifiedBy>
  <dcterms:modified xsi:type="dcterms:W3CDTF">1999-09-28T10:26:00Z</dcterms:modified>
  <cp:revision>2</cp:revision>
  <dc:subject/>
  <dc:title>finansogtolldept</dc:title>
</cp:coreProperties>
</file>