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3">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Northern provides transportation and storage services to approximately 90 utility customers and end-users in the upper Midwestern United States, and is a registered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r>
        <w:rPr/>
        <w:t xml:space="preserve">Captive Residential Demand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r>
        <w:rPr/>
        <w:t>85% of revenues are comprised of demand charges and 95% of market area capacity is contracted through 2003.  Northern’s top ten shippers make up 51%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w:t>
      </w:r>
    </w:p>
    <w:p>
      <w:pPr>
        <w:pStyle w:val="Heading3"/>
        <w:tabs>
          <w:tab w:val="clear" w:pos="720"/>
          <w:tab w:val="left" w:pos="1080" w:leader="none"/>
        </w:tabs>
        <w:ind w:hanging="0" w:start="0" w:end="0"/>
        <w:rPr/>
      </w:pPr>
      <w:r>
        <w:rPr/>
        <w:t>Sophisticated System</w:t>
      </w:r>
    </w:p>
    <w:p>
      <w:pPr>
        <w:pStyle w:val="BodyText"/>
        <w:rPr>
          <w:b/>
          <w:bCs/>
        </w:rPr>
      </w:pPr>
      <w:r>
        <w:rPr>
          <w:b/>
          <w:bCs/>
        </w:rPr>
      </w:r>
    </w:p>
    <w:p>
      <w:pPr>
        <w:pStyle w:val="BodyText"/>
        <w:rPr/>
      </w:pPr>
      <w:r>
        <w:rPr/>
        <w:t xml:space="preserve">Northern is a transporter in the national pipeline grid with connections to multiple supply basins and interconnecting pipelines.  This grid system is expensive to duplicate by competing parties.  In addition, the system allows for bi-directional flows and a wider customer base.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2094930057"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with a current allowed after-tax rate of return on equity of 10.39%.  The last rate case review was in 1999 and the next rate case will occur in the summer of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7">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5,639 Tcf This grid system is expensive to duplicate by competing parties.  </w:t>
      </w:r>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 xml:space="preserve">Northern is also instrumental in serving the Chicago market through interconnects with other pipelines.  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The Field Area of Northern’s system includes production areas in the State of Kansas, New Mexico, Oklahoma, and Texas.  Throughout these States, Northern has numerous interconnecting receipt and delivery points that allow gas to be scheduled and transported in all directions 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 xml:space="preserve">The Minnesota region will continue to provide stable earnings through 2007.  In Iowa, Northern will receive lower earnings due to competing pipelines but earnings will remain stable through 2005.  </w:t>
      </w:r>
    </w:p>
    <w:p>
      <w:pPr>
        <w:pStyle w:val="BodyText"/>
        <w:rPr/>
      </w:pPr>
      <w:r>
        <w:rPr/>
      </w:r>
    </w:p>
    <w:p>
      <w:pPr>
        <w:pStyle w:val="BodyText"/>
        <w:rPr/>
      </w:pPr>
      <w:r>
        <w:rPr/>
        <w:t xml:space="preserve">The Wisconsin/Chicago area will remain at risk until 2003 because market prices are below maximum tariff rates due to high concentration of competing pipelines.  </w:t>
      </w:r>
    </w:p>
    <w:p>
      <w:pPr>
        <w:pStyle w:val="BodyText"/>
        <w:rPr/>
      </w:pPr>
      <w:r>
        <w:rPr/>
      </w:r>
    </w:p>
    <w:p>
      <w:pPr>
        <w:pStyle w:val="BodyText"/>
        <w:rPr/>
      </w:pPr>
      <w:r>
        <w:rPr/>
        <w:t>Major competitors in the market area include:</w:t>
      </w:r>
    </w:p>
    <w:p>
      <w:pPr>
        <w:pStyle w:val="BodyText"/>
        <w:numPr>
          <w:ilvl w:val="0"/>
          <w:numId w:val="2"/>
        </w:numPr>
        <w:ind w:hanging="0" w:start="0" w:end="0"/>
        <w:rPr/>
      </w:pPr>
      <w:r>
        <w:rPr/>
        <w:t>Alliance</w:t>
      </w:r>
    </w:p>
    <w:p>
      <w:pPr>
        <w:pStyle w:val="BodyText"/>
        <w:numPr>
          <w:ilvl w:val="0"/>
          <w:numId w:val="2"/>
        </w:numPr>
        <w:ind w:hanging="0" w:start="0" w:end="0"/>
        <w:rPr/>
      </w:pPr>
      <w:r>
        <w:rPr/>
        <w:t>ANR Great Lakes</w:t>
      </w:r>
    </w:p>
    <w:p>
      <w:pPr>
        <w:pStyle w:val="BodyText"/>
        <w:numPr>
          <w:ilvl w:val="0"/>
          <w:numId w:val="2"/>
        </w:numPr>
        <w:ind w:hanging="0" w:start="0" w:end="0"/>
        <w:rPr/>
      </w:pPr>
      <w:r>
        <w:rPr/>
        <w:t>Natural Gas Pipeline</w:t>
      </w:r>
    </w:p>
    <w:p>
      <w:pPr>
        <w:pStyle w:val="BodyText"/>
        <w:numPr>
          <w:ilvl w:val="0"/>
          <w:numId w:val="2"/>
        </w:numPr>
        <w:ind w:hanging="0" w:start="0" w:end="0"/>
        <w:rPr/>
      </w:pPr>
      <w:r>
        <w:rPr/>
        <w:t>Northern Border</w:t>
      </w:r>
    </w:p>
    <w:p>
      <w:pPr>
        <w:pStyle w:val="BodyText"/>
        <w:numPr>
          <w:ilvl w:val="0"/>
          <w:numId w:val="2"/>
        </w:numPr>
        <w:ind w:hanging="0" w:start="0" w:end="0"/>
        <w:rPr/>
      </w:pPr>
      <w:r>
        <w:rPr/>
        <w:t>Trailblazer</w:t>
      </w:r>
    </w:p>
    <w:p>
      <w:pPr>
        <w:pStyle w:val="BodyText"/>
        <w:numPr>
          <w:ilvl w:val="0"/>
          <w:numId w:val="2"/>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4">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pPr>
      <w:r>
        <w:rPr/>
        <w:t xml:space="preserve">Peak capacity in 2000 was 4,200 billion cubic feet per day (“Bcf/d”).  In 2000, Northern’s throughput totaled 1,291 trillion cubic feet (“Tcf”), for an average utilization of 84%.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18">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by LDC customers to serve residential, commercial, and industrial customers behind the city gate.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3"/>
        </w:numPr>
        <w:ind w:hanging="360" w:start="0" w:end="0"/>
        <w:rPr/>
      </w:pPr>
      <w:r>
        <w:rPr/>
        <w:t>Regulation and Tariffs</w:t>
      </w:r>
    </w:p>
    <w:p>
      <w:pPr>
        <w:pStyle w:val="BodyText"/>
        <w:numPr>
          <w:ilvl w:val="0"/>
          <w:numId w:val="3"/>
        </w:numPr>
        <w:ind w:hanging="360" w:start="0" w:end="0"/>
        <w:rPr/>
      </w:pPr>
      <w:r>
        <w:rPr/>
        <w:t>Commercial Structure and Employees</w:t>
      </w:r>
    </w:p>
    <w:p>
      <w:pPr>
        <w:pStyle w:val="BodyText"/>
        <w:numPr>
          <w:ilvl w:val="0"/>
          <w:numId w:val="3"/>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2002-02-08T13:31:00Z</dcterms:created>
  <dc:creator>jdesai</dc:creator>
  <dc:description/>
  <dc:language>en-CA</dc:language>
  <cp:lastModifiedBy>jdesai</cp:lastModifiedBy>
  <cp:lastPrinted>2002-02-08T13:19:00Z</cp:lastPrinted>
  <dcterms:modified xsi:type="dcterms:W3CDTF">2002-02-08T16:58:00Z</dcterms:modified>
  <cp:revision>23</cp:revision>
  <dc:subject/>
  <dc:title>Northern Natural Gas Company</dc:title>
</cp:coreProperties>
</file>