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360"/>
          <w:tab w:val="clear" w:pos="9000"/>
          <w:tab w:val="left" w:pos="0" w:leader="none"/>
        </w:tabs>
        <w:rPr>
          <w:rFonts w:ascii="Times New Roman" w:hAnsi="Times New Roman" w:eastAsia="Times New Roman" w:cs="Times New Roman"/>
        </w:rPr>
      </w:pPr>
      <w:r>
        <w:rPr>
          <w:rFonts w:eastAsia="Times New Roman" w:cs="Times New Roman" w:ascii="Times New Roman" w:hAnsi="Times New Roman"/>
        </w:rPr>
      </w:r>
    </w:p>
    <w:p>
      <w:pPr>
        <w:sectPr>
          <w:footerReference w:type="default" r:id="rId2"/>
          <w:footerReference w:type="first" r:id="rId3"/>
          <w:type w:val="nextPage"/>
          <w:pgSz w:w="12240" w:h="15840"/>
          <w:pgMar w:left="1800" w:right="1800" w:gutter="0" w:header="0" w:top="1440" w:footer="1440" w:bottom="1496"/>
          <w:pgNumType w:start="1" w:fmt="decimal"/>
          <w:formProt w:val="false"/>
          <w:titlePg/>
          <w:textDirection w:val="lrTb"/>
        </w:sectPr>
      </w:pP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0" w:leader="none"/>
        </w:tabs>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t>NORTHERN NATURAL GAS COMPANY</w:t>
      </w:r>
    </w:p>
    <w:p>
      <w:pPr>
        <w:pStyle w:val="Normal"/>
        <w:tabs>
          <w:tab w:val="clear" w:pos="720"/>
          <w:tab w:val="left" w:pos="0" w:leader="none"/>
        </w:tabs>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0" w:leader="none"/>
        </w:tabs>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r>
    </w:p>
    <w:p>
      <w:pPr>
        <w:pStyle w:val="Heading1"/>
        <w:ind w:hanging="0" w:start="0"/>
        <w:rPr/>
      </w:pPr>
      <w:r>
        <w:rPr/>
        <w:t>UPLAND EROSION CONTROL, REVEGETATION, AND</w:t>
      </w:r>
    </w:p>
    <w:p>
      <w:pPr>
        <w:pStyle w:val="Normal"/>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t>MAINTENANCE PLAN</w:t>
      </w:r>
    </w:p>
    <w:p>
      <w:pPr>
        <w:pStyle w:val="Normal"/>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t>(NORTHERN PLAN)</w:t>
      </w:r>
      <w:r>
        <w:br w:type="page"/>
      </w:r>
    </w:p>
    <w:p>
      <w:pPr>
        <w:pStyle w:val="Normal"/>
        <w:suppressAutoHyphens w:val="true"/>
        <w:jc w:val="center"/>
        <w:rPr>
          <w:rFonts w:ascii="Times New Roman" w:hAnsi="Times New Roman" w:eastAsia="Times New Roman" w:cs="Times New Roman"/>
        </w:rPr>
      </w:pPr>
      <w:r>
        <w:rPr>
          <w:rFonts w:eastAsia="Times New Roman" w:cs="Times New Roman" w:ascii="Times New Roman" w:hAnsi="Times New Roman"/>
        </w:rPr>
        <w:t>NORTHERN NATURAL GAS COMPANY</w:t>
      </w:r>
    </w:p>
    <w:p>
      <w:pPr>
        <w:pStyle w:val="Normal"/>
        <w:suppressAutoHyphens w:val="tru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UPLAND EROSION CONTROL, REVEGETATION, AND</w:t>
      </w:r>
    </w:p>
    <w:p>
      <w:pPr>
        <w:pStyle w:val="Normal"/>
        <w:suppressAutoHyphens w:val="tru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MAINTENANCE PLAN</w:t>
      </w:r>
    </w:p>
    <w:p>
      <w:pPr>
        <w:pStyle w:val="Normal"/>
        <w:suppressAutoHyphens w:val="tru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uppressAutoHyphens w:val="tru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TABLE OF CONTENTS</w:t>
      </w:r>
    </w:p>
    <w:p>
      <w:pPr>
        <w:pStyle w:val="Normal"/>
        <w:tabs>
          <w:tab w:val="clear" w:pos="720"/>
          <w:tab w:val="left" w:pos="0" w:leader="none"/>
        </w:tabs>
        <w:suppressAutoHyphens w:val="true"/>
        <w:rPr/>
      </w:pPr>
      <w:r>
        <w:rPr>
          <w:rFonts w:eastAsia="Times New Roman" w:cs="Times New Roman" w:ascii="Times New Roman" w:hAnsi="Times New Roman"/>
          <w:sz w:val="20"/>
          <w:szCs w:val="20"/>
        </w:rPr>
        <w:t>I</w:t>
        <w:tab/>
      </w:r>
      <w:r>
        <w:rPr>
          <w:rFonts w:eastAsia="Times New Roman" w:cs="Times New Roman" w:ascii="Times New Roman" w:hAnsi="Times New Roman"/>
          <w:sz w:val="20"/>
          <w:szCs w:val="20"/>
          <w:u w:val="single"/>
        </w:rPr>
        <w:t>APPLICABILITY</w:t>
      </w:r>
      <w:r>
        <w:rPr>
          <w:rFonts w:eastAsia="Times New Roman" w:cs="Times New Roman" w:ascii="Times New Roman" w:hAnsi="Times New Roman"/>
          <w:sz w:val="20"/>
          <w:szCs w:val="20"/>
        </w:rPr>
        <w:t xml:space="preserve">  . . . . . . . . . . . . . . . . . . . . . . . . . . . . . . .   . . . . . . . . . . . . . . . . . . . . . . </w:t>
        <w:tab/>
        <w:t xml:space="preserve">  1</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rPr/>
      </w:pPr>
      <w:r>
        <w:rPr>
          <w:rFonts w:eastAsia="Times New Roman" w:cs="Times New Roman" w:ascii="Times New Roman" w:hAnsi="Times New Roman"/>
          <w:sz w:val="20"/>
          <w:szCs w:val="20"/>
        </w:rPr>
        <w:t>II.</w:t>
        <w:tab/>
      </w:r>
      <w:r>
        <w:rPr>
          <w:rFonts w:eastAsia="Times New Roman" w:cs="Times New Roman" w:ascii="Times New Roman" w:hAnsi="Times New Roman"/>
          <w:sz w:val="20"/>
          <w:szCs w:val="20"/>
          <w:u w:val="single"/>
        </w:rPr>
        <w:t>PRECONSTRUCTION FILING</w:t>
      </w:r>
      <w:r>
        <w:rPr>
          <w:rFonts w:eastAsia="Times New Roman" w:cs="Times New Roman" w:ascii="Times New Roman" w:hAnsi="Times New Roman"/>
          <w:sz w:val="20"/>
          <w:szCs w:val="20"/>
        </w:rPr>
        <w:t xml:space="preserve">  . . . . . . . . . . . . . . . . . . . . . . . . . . . . . . . . . . . . . . . . . . </w:t>
        <w:tab/>
        <w:t xml:space="preserve">  1</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rPr/>
      </w:pPr>
      <w:r>
        <w:rPr>
          <w:rFonts w:eastAsia="Times New Roman" w:cs="Times New Roman" w:ascii="Times New Roman" w:hAnsi="Times New Roman"/>
          <w:sz w:val="20"/>
          <w:szCs w:val="20"/>
        </w:rPr>
        <w:t>III.</w:t>
        <w:tab/>
      </w:r>
      <w:r>
        <w:rPr>
          <w:rFonts w:eastAsia="Times New Roman" w:cs="Times New Roman" w:ascii="Times New Roman" w:hAnsi="Times New Roman"/>
          <w:sz w:val="20"/>
          <w:szCs w:val="20"/>
          <w:u w:val="single"/>
        </w:rPr>
        <w:t>SUPERVISION AND INSPECTION</w:t>
      </w:r>
      <w:r>
        <w:rPr>
          <w:rFonts w:eastAsia="Times New Roman" w:cs="Times New Roman" w:ascii="Times New Roman" w:hAnsi="Times New Roman"/>
          <w:sz w:val="20"/>
          <w:szCs w:val="20"/>
        </w:rPr>
        <w:t xml:space="preserve"> . . . . . . . . . . . . . . . . . . . . . . . . . . . . . . . . . . . . . . .</w:t>
        <w:tab/>
        <w:t xml:space="preserve">  1</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ENVIRONMENTAL INSPECTION  . . . . . . . . . . . . . . . . . . . . . . . . . . . . . . . .</w:t>
        <w:tab/>
        <w:t xml:space="preserve">  1</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RESPONSIBILITIES OF ENVIRONMENTAL INSPECTORS  . . . . . . . . . . .</w:t>
        <w:tab/>
        <w:t xml:space="preserve">  2</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rPr/>
      </w:pPr>
      <w:r>
        <w:rPr>
          <w:rFonts w:eastAsia="Times New Roman" w:cs="Times New Roman" w:ascii="Times New Roman" w:hAnsi="Times New Roman"/>
          <w:sz w:val="20"/>
          <w:szCs w:val="20"/>
        </w:rPr>
        <w:t>IV.</w:t>
        <w:tab/>
      </w:r>
      <w:r>
        <w:rPr>
          <w:rFonts w:eastAsia="Times New Roman" w:cs="Times New Roman" w:ascii="Times New Roman" w:hAnsi="Times New Roman"/>
          <w:sz w:val="20"/>
          <w:szCs w:val="20"/>
          <w:u w:val="single"/>
        </w:rPr>
        <w:t>PRECONSTRUCTION PLANNING</w:t>
      </w:r>
      <w:r>
        <w:rPr>
          <w:rFonts w:eastAsia="Times New Roman" w:cs="Times New Roman" w:ascii="Times New Roman" w:hAnsi="Times New Roman"/>
          <w:sz w:val="20"/>
          <w:szCs w:val="20"/>
        </w:rPr>
        <w:t xml:space="preserve">  . . . . . . . . . . . . . . . . . . . . . . . . . . . . . . . . . . . . . . . </w:t>
        <w:tab/>
        <w:t xml:space="preserve">  3</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DRAIN TILE AND IRRIGATION SYSTEMS . . . . . . . . . . . . . . . . . . . . . . . . .</w:t>
        <w:tab/>
        <w:t xml:space="preserve">  3</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 xml:space="preserve">ROAD CROSSINGS AND ACCESS POINTS  . . . . . . . . . . . . . . . . . . . . . . . . </w:t>
        <w:tab/>
        <w:t xml:space="preserve">  3</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C.</w:t>
        <w:tab/>
        <w:t>DISPOSAL PLANNING . . . . . . . . . . . . . . . . . . . . . . . . . . . . . . . . . . . . . . . . . .</w:t>
        <w:tab/>
        <w:t xml:space="preserve">  3</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D.</w:t>
        <w:tab/>
        <w:t xml:space="preserve">AGENCY COORDINATION . . . . . . . . . . . . . . . . . . . . . . . . . . . . . . . . . . . . . . </w:t>
        <w:tab/>
        <w:t xml:space="preserve">  3</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rPr/>
      </w:pPr>
      <w:r>
        <w:rPr>
          <w:rFonts w:eastAsia="Times New Roman" w:cs="Times New Roman" w:ascii="Times New Roman" w:hAnsi="Times New Roman"/>
          <w:sz w:val="20"/>
          <w:szCs w:val="20"/>
        </w:rPr>
        <w:t>V.</w:t>
        <w:tab/>
      </w:r>
      <w:r>
        <w:rPr>
          <w:rFonts w:eastAsia="Times New Roman" w:cs="Times New Roman" w:ascii="Times New Roman" w:hAnsi="Times New Roman"/>
          <w:sz w:val="20"/>
          <w:szCs w:val="20"/>
          <w:u w:val="single"/>
        </w:rPr>
        <w:t>INSTALLATION</w:t>
      </w:r>
      <w:r>
        <w:rPr>
          <w:rFonts w:eastAsia="Times New Roman" w:cs="Times New Roman" w:ascii="Times New Roman" w:hAnsi="Times New Roman"/>
          <w:sz w:val="20"/>
          <w:szCs w:val="20"/>
        </w:rPr>
        <w:t xml:space="preserve"> . . . . . . . . . . . . . . . . . . . . . . . . . . . . . . . . . . . . . . . . . . . . . . . . . . . . . .</w:t>
        <w:tab/>
        <w:t xml:space="preserve">  3</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APPROVED AREAS OF DISTURBANCE  . . . . . . . . . . . . . . . . . . . . . . . . . .</w:t>
        <w:tab/>
        <w:t xml:space="preserve">  3</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TOPSOIL SEGREGATION . . . . . . . . . . . . . . . . . . . . . . . . . . . . . . . . . . . . . . .</w:t>
        <w:tab/>
        <w:t xml:space="preserve">  3</w:t>
      </w:r>
    </w:p>
    <w:p>
      <w:pPr>
        <w:pStyle w:val="AnnotationText"/>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tab/>
        <w:t>C.</w:t>
        <w:tab/>
        <w:t>DRAIN TILES . . . . . . . . . . . . . . . . . . . . . . . . . . . . . . . . . . . . . . . . . . . . . . . . .</w:t>
        <w:tab/>
        <w:t xml:space="preserve">  4</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D.</w:t>
        <w:tab/>
        <w:t xml:space="preserve">ROAD CROSSINGS AND ACCESS POINTS . . . . . . . . . . . . . . . . . . . . . . . . </w:t>
        <w:tab/>
        <w:t xml:space="preserve">  4</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E.</w:t>
        <w:tab/>
        <w:t>TEMPORARY EROSION CONTROL . . . . . . . . . . . . . . . . . . . . . . . . . . . . . . .</w:t>
        <w:tab/>
        <w:t xml:space="preserve">  4</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Temporary Slope Breakers  . . . . . . . . . . . . . . . . . . . . . . . . . . . . . . . . .</w:t>
        <w:tab/>
        <w:t xml:space="preserve">  4</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Sediment Barriers . . . . . . . . . . . . . . . . . . . . . . . . . . . . . . . . . . . . . . . .</w:t>
        <w:tab/>
        <w:t xml:space="preserve">  5</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Mulch . . . . . . . . . . . . . . . . . . . . . . . . . . . . . . . . . . . . . . . . . . . . . . . . .</w:t>
        <w:tab/>
        <w:t xml:space="preserve">  5</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rPr/>
      </w:pPr>
      <w:r>
        <w:rPr>
          <w:rFonts w:eastAsia="Times New Roman" w:cs="Times New Roman" w:ascii="Times New Roman" w:hAnsi="Times New Roman"/>
          <w:sz w:val="20"/>
          <w:szCs w:val="20"/>
        </w:rPr>
        <w:t>VI.</w:t>
        <w:tab/>
      </w:r>
      <w:r>
        <w:rPr>
          <w:rFonts w:eastAsia="Times New Roman" w:cs="Times New Roman" w:ascii="Times New Roman" w:hAnsi="Times New Roman"/>
          <w:sz w:val="20"/>
          <w:szCs w:val="20"/>
          <w:u w:val="single"/>
        </w:rPr>
        <w:t>RESTORATION</w:t>
      </w:r>
      <w:r>
        <w:rPr>
          <w:rFonts w:eastAsia="Times New Roman" w:cs="Times New Roman" w:ascii="Times New Roman" w:hAnsi="Times New Roman"/>
          <w:sz w:val="20"/>
          <w:szCs w:val="20"/>
        </w:rPr>
        <w:t xml:space="preserve">  . . . . . . . . . . . . . . . . . . . . . . . . . . . . . . . . . . . . . . . . . . . . . . . . . . . . . .</w:t>
        <w:tab/>
        <w:t xml:space="preserve">  6</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 xml:space="preserve">CLEANUP . . . . . . . . . . . . . . . . . . . . . . . . . . . . . . . . . . . . . . . . . . . . . . . . . . . . </w:t>
        <w:tab/>
        <w:t xml:space="preserve">  6</w:t>
      </w:r>
    </w:p>
    <w:p>
      <w:pPr>
        <w:pStyle w:val="AnnotationText"/>
        <w:tabs>
          <w:tab w:val="clear" w:pos="720"/>
          <w:tab w:val="left" w:pos="0" w:leader="none"/>
        </w:tabs>
        <w:suppressAutoHyphens w:val="true"/>
        <w:rPr>
          <w:rFonts w:ascii="Times New Roman" w:hAnsi="Times New Roman" w:eastAsia="Times New Roman" w:cs="Times New Roman"/>
        </w:rPr>
      </w:pPr>
      <w:r>
        <w:rPr>
          <w:rFonts w:eastAsia="Times New Roman" w:cs="Times New Roman" w:ascii="Times New Roman" w:hAnsi="Times New Roman"/>
        </w:rPr>
        <w:tab/>
        <w:t>B.</w:t>
        <w:tab/>
        <w:t>PERMANENT EROSION CONTROL DEVICES. . . . . . . . . . . . . . . . . . . . . . .</w:t>
        <w:tab/>
        <w:t xml:space="preserve">  7</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Trench Breakers . . . . . . . . . . . . . . . . . . . . . . . . . . . . . . . . . . . . . . . . .</w:t>
        <w:tab/>
        <w:t xml:space="preserve">  7</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Permanent Slope Breakers. . . . . . . . . . . . . . . . . . . . . . . . . . . . . . . . . .</w:t>
        <w:tab/>
        <w:t xml:space="preserve">  7</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C.</w:t>
        <w:tab/>
        <w:t>SOIL COMPACTION MITIGATION. . . . . . . . . . . . . . . . . . . . . . . . . . . . . . . .</w:t>
        <w:tab/>
        <w:t xml:space="preserve">  7</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D.</w:t>
        <w:tab/>
        <w:t>REVEGETATION . . . . . . . . . . . . . . . . . . . . . . . . . . . . . . . . . . . . . . . . . . . . . .</w:t>
        <w:tab/>
        <w:t xml:space="preserve">  8</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General  . . . . . . . . . . . . . . . . . . . . . . . . . . . . . . . . . . . . . . . . . . . . . . .</w:t>
        <w:tab/>
        <w:t xml:space="preserve">  8</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Seeding Requirements . . . . . . . . . . . . . . . . . . . . . . . . . . . . . . . . . . . .</w:t>
        <w:tab/>
        <w:t xml:space="preserve">  8</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rPr/>
      </w:pPr>
      <w:r>
        <w:rPr>
          <w:rFonts w:eastAsia="Times New Roman" w:cs="Times New Roman" w:ascii="Times New Roman" w:hAnsi="Times New Roman"/>
          <w:sz w:val="20"/>
          <w:szCs w:val="20"/>
        </w:rPr>
        <w:t>VII.</w:t>
        <w:tab/>
      </w:r>
      <w:r>
        <w:rPr>
          <w:rFonts w:eastAsia="Times New Roman" w:cs="Times New Roman" w:ascii="Times New Roman" w:hAnsi="Times New Roman"/>
          <w:sz w:val="20"/>
          <w:szCs w:val="20"/>
          <w:u w:val="single"/>
        </w:rPr>
        <w:t>OFF-ROAD VEHICLE CONTROL</w:t>
      </w:r>
      <w:r>
        <w:rPr>
          <w:rFonts w:eastAsia="Times New Roman" w:cs="Times New Roman" w:ascii="Times New Roman" w:hAnsi="Times New Roman"/>
          <w:sz w:val="20"/>
          <w:szCs w:val="20"/>
        </w:rPr>
        <w:t xml:space="preserve">  . . . . . . . . . . . . . . . . . . . . . . . . . . . . . . . . . . . . . . . </w:t>
        <w:tab/>
        <w:t xml:space="preserve">  9 </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rPr/>
      </w:pPr>
      <w:r>
        <w:rPr>
          <w:rFonts w:eastAsia="Times New Roman" w:cs="Times New Roman" w:ascii="Times New Roman" w:hAnsi="Times New Roman"/>
          <w:sz w:val="20"/>
          <w:szCs w:val="20"/>
        </w:rPr>
        <w:t>VIII.</w:t>
        <w:tab/>
      </w:r>
      <w:r>
        <w:rPr>
          <w:rFonts w:eastAsia="Times New Roman" w:cs="Times New Roman" w:ascii="Times New Roman" w:hAnsi="Times New Roman"/>
          <w:sz w:val="20"/>
          <w:szCs w:val="20"/>
          <w:u w:val="single"/>
        </w:rPr>
        <w:t>POST-CONSTRUCTION ACTIVITIES</w:t>
      </w:r>
      <w:r>
        <w:rPr>
          <w:rFonts w:eastAsia="Times New Roman" w:cs="Times New Roman" w:ascii="Times New Roman" w:hAnsi="Times New Roman"/>
          <w:sz w:val="20"/>
          <w:szCs w:val="20"/>
        </w:rPr>
        <w:t xml:space="preserve"> . . . . . . . . . . . . . . . . . . . . . . . . . . . . . . . . . . . .</w:t>
        <w:tab/>
        <w:t xml:space="preserve">  9</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MONITORING AND MAINTENANCE . . . . . . . . . . . . . . . . . . . . . . . . . . . . .</w:t>
        <w:tab/>
        <w:t xml:space="preserve">  9</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sectPr>
          <w:type w:val="continuous"/>
          <w:pgSz w:w="12240" w:h="15840"/>
          <w:pgMar w:left="1800" w:right="1800" w:gutter="0" w:header="0" w:top="1440" w:footer="1440" w:bottom="1496"/>
          <w:formProt w:val="false"/>
          <w:titlePg/>
          <w:textDirection w:val="lrTb"/>
        </w:sectPr>
      </w:pPr>
    </w:p>
    <w:p>
      <w:pPr>
        <w:pStyle w:val="Normal"/>
        <w:suppressAutoHyphens w:val="true"/>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uppressAutoHyphens w:val="true"/>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NORTHERN NATURAL GAS COMPANY</w:t>
      </w:r>
    </w:p>
    <w:p>
      <w:pPr>
        <w:pStyle w:val="Normal"/>
        <w:suppressAutoHyphens w:val="true"/>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 xml:space="preserve">UPLAND EROSION CONTROL, REVEGETATION, AND MAINTENANCE PLAN </w:t>
      </w:r>
    </w:p>
    <w:p>
      <w:pPr>
        <w:pStyle w:val="Normal"/>
        <w:suppressAutoHyphens w:val="true"/>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(NORTHERN PLAN)</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t>I.</w:t>
        <w:tab/>
      </w:r>
      <w:r>
        <w:rPr>
          <w:rFonts w:eastAsia="Times New Roman" w:cs="Times New Roman" w:ascii="Times New Roman" w:hAnsi="Times New Roman"/>
          <w:sz w:val="20"/>
          <w:szCs w:val="20"/>
          <w:u w:val="single"/>
        </w:rPr>
        <w:t>APPLICABILITY</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This Northern Plan applies to natural gas construction projects of Northern Natural Gas Company (Northern) (except those authorized under a case specific 7(c) which require FERC’s Plan) and shall be used for all nonwetland areas of a project.    Wetland and waterbody systems are addressed in the Northern Natural Gas Company Wetland and Waterbody Construction and Mitigation Procedures (Northern Procedures).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 xml:space="preserve">Deviations that involve measures different from those contained in this Northern Plan will only be permitted  by written approval of the Vice President of Operations, or the Northern representative (defined as the construction coordinator or company environmental representative) unless specifically required in writing by a Federal, state, local, or Native American land management agency for the portion of the project on its land.  </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The intent of this Plan is to confine project-related disturbance to the construction right-of-way, extra work areas, pipe storage yards, and access roads, and to minimize erosion and enhance revegetation in those areas.  Any project-related ground disturbance (including erosion) outside of these areas is subject to compliance with all applicable survey and mitigation requirements.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890" w:leader="none"/>
        </w:tabs>
        <w:suppressAutoHyphens w:val="true"/>
        <w:ind w:hanging="1440" w:start="1440" w:end="0"/>
        <w:jc w:val="both"/>
        <w:rPr/>
      </w:pPr>
      <w:r>
        <w:rPr>
          <w:rFonts w:eastAsia="Times New Roman" w:cs="Times New Roman" w:ascii="Times New Roman" w:hAnsi="Times New Roman"/>
          <w:sz w:val="20"/>
          <w:szCs w:val="20"/>
        </w:rPr>
        <w:tab/>
        <w:t>C.</w:t>
        <w:tab/>
        <w:t xml:space="preserve"> Northern shall identify</w:t>
      </w:r>
      <w:r>
        <w:rPr>
          <w:rFonts w:eastAsia="Times New Roman" w:cs="Times New Roman" w:ascii="Times New Roman" w:hAnsi="Times New Roman"/>
          <w:b/>
          <w:bCs/>
          <w:i/>
          <w:iCs/>
          <w:sz w:val="20"/>
          <w:szCs w:val="20"/>
        </w:rPr>
        <w:t xml:space="preserve"> </w:t>
      </w:r>
      <w:r>
        <w:rPr>
          <w:rFonts w:eastAsia="Times New Roman" w:cs="Times New Roman" w:ascii="Times New Roman" w:hAnsi="Times New Roman"/>
          <w:sz w:val="20"/>
          <w:szCs w:val="20"/>
        </w:rPr>
        <w:t xml:space="preserve">the locations of all areas that will be disturbed by project related activities, including pipe storage yards, contractor yards, disposal areas, and access roads. </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ind w:hanging="720" w:start="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II.</w:t>
        <w:tab/>
      </w:r>
      <w:r>
        <w:rPr>
          <w:rFonts w:eastAsia="Times New Roman" w:cs="Times New Roman" w:ascii="Times New Roman" w:hAnsi="Times New Roman"/>
          <w:sz w:val="20"/>
          <w:szCs w:val="20"/>
          <w:u w:val="single"/>
        </w:rPr>
        <w:t>PRECONSTRUCTION FILING</w:t>
      </w:r>
    </w:p>
    <w:p>
      <w:pPr>
        <w:pStyle w:val="Normal"/>
        <w:tabs>
          <w:tab w:val="clear" w:pos="720"/>
          <w:tab w:val="left" w:pos="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s>
        <w:suppressAutoHyphens w:val="true"/>
        <w:ind w:hanging="1440" w:start="1440" w:end="0"/>
        <w:jc w:val="both"/>
        <w:rPr/>
      </w:pPr>
      <w:r>
        <w:rPr>
          <w:rFonts w:eastAsia="Times New Roman" w:cs="Times New Roman" w:ascii="Times New Roman" w:hAnsi="Times New Roman"/>
          <w:sz w:val="20"/>
          <w:szCs w:val="20"/>
        </w:rPr>
        <w:tab/>
        <w:t>A.</w:t>
        <w:tab/>
        <w:t xml:space="preserve">Before construction begins on a project that will disturb more than 5 acres of land,  Northern must apply for a NPDES </w:t>
      </w:r>
      <w:r>
        <w:rPr>
          <w:rFonts w:eastAsia="Times New Roman" w:cs="Times New Roman" w:ascii="Times New Roman" w:hAnsi="Times New Roman"/>
          <w:b/>
          <w:bCs/>
          <w:i/>
          <w:iCs/>
          <w:sz w:val="20"/>
          <w:szCs w:val="20"/>
        </w:rPr>
        <w:t xml:space="preserve"> </w:t>
      </w:r>
      <w:r>
        <w:rPr>
          <w:rFonts w:eastAsia="Times New Roman" w:cs="Times New Roman" w:ascii="Times New Roman" w:hAnsi="Times New Roman"/>
          <w:sz w:val="20"/>
          <w:szCs w:val="20"/>
        </w:rPr>
        <w:t>Stormwater construction permit and prepare a Stormwater Pollution Prevention Plan for compliance with the U.S. Environment Protection Agency’s National Stormwater Program General Permit requirements.  This plan must be available in the field on each construction project and shall include a Spill Prevention, Containment, and Countermeasure Plan (see section IV.A. of the Northern Procedures).</w:t>
      </w:r>
    </w:p>
    <w:p>
      <w:pPr>
        <w:pStyle w:val="Normal"/>
        <w:tabs>
          <w:tab w:val="clear" w:pos="720"/>
          <w:tab w:val="left" w:pos="0" w:leader="none"/>
        </w:tabs>
        <w:suppressAutoHyphens w:val="true"/>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ind w:hanging="1440" w:start="1440" w:end="0"/>
        <w:jc w:val="both"/>
        <w:rPr/>
      </w:pPr>
      <w:r>
        <w:rPr>
          <w:rFonts w:eastAsia="Times New Roman" w:cs="Times New Roman" w:ascii="Times New Roman" w:hAnsi="Times New Roman"/>
          <w:sz w:val="20"/>
          <w:szCs w:val="20"/>
        </w:rPr>
        <w:tab/>
        <w:t>B.</w:t>
        <w:tab/>
        <w:t>Northern will identify and maintain</w:t>
      </w:r>
      <w:r>
        <w:rPr>
          <w:rFonts w:eastAsia="Times New Roman" w:cs="Times New Roman" w:ascii="Times New Roman" w:hAnsi="Times New Roman"/>
          <w:b/>
          <w:bCs/>
          <w:i/>
          <w:iCs/>
          <w:sz w:val="20"/>
          <w:szCs w:val="20"/>
        </w:rPr>
        <w:t xml:space="preserve"> </w:t>
      </w:r>
      <w:r>
        <w:rPr>
          <w:rFonts w:eastAsia="Times New Roman" w:cs="Times New Roman" w:ascii="Times New Roman" w:hAnsi="Times New Roman"/>
          <w:sz w:val="20"/>
          <w:szCs w:val="20"/>
        </w:rPr>
        <w:t>all written requirements from federal, state, local, or Native American land management agencies regarding erosion control, revegetation, or maintenance for the project that deviate from this plan.</w:t>
      </w:r>
    </w:p>
    <w:p>
      <w:pPr>
        <w:pStyle w:val="Normal"/>
        <w:tabs>
          <w:tab w:val="clear" w:pos="720"/>
          <w:tab w:val="left" w:pos="0" w:leader="none"/>
        </w:tabs>
        <w:suppressAutoHyphens w:val="true"/>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III.</w:t>
        <w:tab/>
      </w:r>
      <w:r>
        <w:rPr>
          <w:rFonts w:eastAsia="Times New Roman" w:cs="Times New Roman" w:ascii="Times New Roman" w:hAnsi="Times New Roman"/>
          <w:sz w:val="20"/>
          <w:szCs w:val="20"/>
          <w:u w:val="single"/>
        </w:rPr>
        <w:t>SUPERVISION AND INSPECTION</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ENVIRONMENTAL INSPECTION</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pPr>
      <w:r>
        <w:rPr>
          <w:rFonts w:eastAsia="Times New Roman" w:cs="Times New Roman" w:ascii="Times New Roman" w:hAnsi="Times New Roman"/>
          <w:sz w:val="20"/>
          <w:szCs w:val="20"/>
        </w:rPr>
        <w:tab/>
        <w:tab/>
        <w:t>1.</w:t>
        <w:tab/>
        <w:t>At least one Environmental Inspector is required for each major</w:t>
      </w:r>
      <w:r>
        <w:rPr>
          <w:rFonts w:eastAsia="Times New Roman" w:cs="Times New Roman" w:ascii="Times New Roman" w:hAnsi="Times New Roman"/>
          <w:b/>
          <w:bCs/>
          <w:i/>
          <w:iCs/>
          <w:sz w:val="20"/>
          <w:szCs w:val="20"/>
        </w:rPr>
        <w:t xml:space="preserve"> </w:t>
      </w:r>
      <w:r>
        <w:rPr>
          <w:rFonts w:eastAsia="Times New Roman" w:cs="Times New Roman" w:ascii="Times New Roman" w:hAnsi="Times New Roman"/>
          <w:sz w:val="20"/>
          <w:szCs w:val="20"/>
        </w:rPr>
        <w:t>construction project during active construction or restoration.  The environmental inspector may perform other craft inspection duties.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Environmental Inspectors shall have peer status with all other activity inspectors.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Environmental Inspectors shall have the authority to stop activities that violate project clearances and permits.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RESPONSIBILITIES OF ENVIRONMENTAL INSPECTORS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As appropriate, the Environmental Inspector(s) shall be responsible for:</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Ensuring compliance with the requirements of the NNG Plan, the NNG Procedures, and other environmental permits and approvals;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 xml:space="preserve">Verifying that construction activities are performed within the limits of permitted construction areas; </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 xml:space="preserve">Where appropriate, marking permitted construction areas and access roads; </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4.</w:t>
        <w:tab/>
        <w:t>Identifying stabilization needs in all areas;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5.</w:t>
        <w:tab/>
        <w:t>Locating dewatering structures and slope breakers to ensure they will not direct water into known cultural resources sites or locations of sensitive species;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6.</w:t>
        <w:tab/>
        <w:t>Verifying that trench dewatering activities do not result in the deposition of sand, silt, and/or sediment near the point of discharge into a wetland or waterbody.  If such deposition is occurring, the dewatering activity shall be stopped and the design of the discharge shall be changed to prevent reoccurrence;</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7.</w:t>
        <w:tab/>
        <w:t>Checking subsoil and topsoil in agricultural and residential areas to measure compaction and determine the need for corrective action;</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8.</w:t>
        <w:tab/>
        <w:t>Advising the Construction Coordinator when conditions (such as wet weather) make it advisable to restrict construction activities in agricultural areas. Discontinuing construction activities in areas which have not been cleared of topsoil when soil conditions are saturated to the point where construction traffic causes mixing of topsoil and subsoil or when construction traffic creates tracks deeper than the normal topsoil thickness.;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9.</w:t>
        <w:tab/>
        <w:t>Ensuring restoration of topsoil, if applicable, and contours;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10.</w:t>
        <w:tab/>
        <w:t>Approving imported soils for use in agricultural and residential areas;</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11.</w:t>
        <w:tab/>
        <w:t>Ensuring that temporary erosion controls are properly installed and maintained, daily if necessary;</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12.</w:t>
        <w:tab/>
        <w:t>Inspecting temporary erosion control measures at least:</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s>
        <w:suppressAutoHyphens w:val="true"/>
        <w:ind w:hanging="2880" w:start="2880" w:end="0"/>
        <w:jc w:val="both"/>
        <w:rPr/>
      </w:pPr>
      <w:r>
        <w:rPr>
          <w:rFonts w:eastAsia="Times New Roman" w:cs="Times New Roman" w:ascii="Times New Roman" w:hAnsi="Times New Roman"/>
          <w:sz w:val="20"/>
          <w:szCs w:val="20"/>
        </w:rPr>
        <w:tab/>
        <w:tab/>
        <w:tab/>
      </w:r>
      <w:r>
        <w:rPr>
          <w:rFonts w:eastAsia="Symbol" w:cs="Symbol" w:ascii="Symbol" w:hAnsi="Symbol"/>
          <w:sz w:val="20"/>
          <w:szCs w:val="20"/>
        </w:rPr>
        <w:sym w:font="Symbol" w:char="f0b7"/>
      </w:r>
      <w:r>
        <w:rPr>
          <w:rFonts w:eastAsia="Times New Roman" w:cs="Times New Roman" w:ascii="Times New Roman" w:hAnsi="Times New Roman"/>
          <w:sz w:val="20"/>
          <w:szCs w:val="20"/>
        </w:rPr>
        <w:tab/>
        <w:t>on a daily basis in areas of active construction or equipment operation;</w:t>
      </w:r>
    </w:p>
    <w:p>
      <w:pPr>
        <w:pStyle w:val="Normal"/>
        <w:tabs>
          <w:tab w:val="left" w:pos="0" w:leader="none"/>
          <w:tab w:val="left" w:pos="720" w:leader="none"/>
          <w:tab w:val="left" w:pos="1440" w:leader="none"/>
          <w:tab w:val="left" w:pos="2160" w:leader="none"/>
        </w:tabs>
        <w:suppressAutoHyphens w:val="true"/>
        <w:ind w:hanging="2880" w:start="2880" w:end="0"/>
        <w:jc w:val="both"/>
        <w:rPr/>
      </w:pPr>
      <w:r>
        <w:rPr>
          <w:rFonts w:eastAsia="Times New Roman" w:cs="Times New Roman" w:ascii="Times New Roman" w:hAnsi="Times New Roman"/>
          <w:sz w:val="20"/>
          <w:szCs w:val="20"/>
        </w:rPr>
        <w:tab/>
        <w:tab/>
        <w:tab/>
      </w:r>
      <w:r>
        <w:rPr>
          <w:rFonts w:eastAsia="Symbol" w:cs="Symbol" w:ascii="Symbol" w:hAnsi="Symbol"/>
          <w:sz w:val="20"/>
          <w:szCs w:val="20"/>
        </w:rPr>
        <w:sym w:font="Symbol" w:char="f0b7"/>
      </w:r>
      <w:r>
        <w:rPr>
          <w:rFonts w:eastAsia="Times New Roman" w:cs="Times New Roman" w:ascii="Times New Roman" w:hAnsi="Times New Roman"/>
          <w:sz w:val="20"/>
          <w:szCs w:val="20"/>
        </w:rPr>
        <w:tab/>
        <w:t>on a weekly basis in areas with no construction or equipment operations; and</w:t>
      </w:r>
    </w:p>
    <w:p>
      <w:pPr>
        <w:pStyle w:val="Normal"/>
        <w:tabs>
          <w:tab w:val="left" w:pos="0" w:leader="none"/>
          <w:tab w:val="left" w:pos="720" w:leader="none"/>
          <w:tab w:val="left" w:pos="1440" w:leader="none"/>
          <w:tab w:val="left" w:pos="2160" w:leader="none"/>
        </w:tabs>
        <w:suppressAutoHyphens w:val="true"/>
        <w:ind w:hanging="2880" w:start="2880" w:end="0"/>
        <w:jc w:val="both"/>
        <w:rPr/>
      </w:pPr>
      <w:r>
        <w:rPr>
          <w:rFonts w:eastAsia="Times New Roman" w:cs="Times New Roman" w:ascii="Times New Roman" w:hAnsi="Times New Roman"/>
          <w:sz w:val="20"/>
          <w:szCs w:val="20"/>
        </w:rPr>
        <w:tab/>
        <w:tab/>
        <w:tab/>
      </w:r>
      <w:r>
        <w:rPr>
          <w:rFonts w:eastAsia="Symbol" w:cs="Symbol" w:ascii="Symbol" w:hAnsi="Symbol"/>
          <w:sz w:val="20"/>
          <w:szCs w:val="20"/>
        </w:rPr>
        <w:sym w:font="Symbol" w:char="f0b7"/>
      </w:r>
      <w:r>
        <w:rPr>
          <w:rFonts w:eastAsia="Times New Roman" w:cs="Times New Roman" w:ascii="Times New Roman" w:hAnsi="Times New Roman"/>
          <w:sz w:val="20"/>
          <w:szCs w:val="20"/>
        </w:rPr>
        <w:tab/>
        <w:t>within 24 hours of each 0.5 inch of rainfall;</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13.</w:t>
        <w:tab/>
        <w:t>Ensuring the repair of all ineffective temporary erosion control measures within 24 hours of identification;</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14.</w:t>
        <w:tab/>
        <w:t>Keeping records of compliance with the environmental conditions as required by agencies;</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15.</w:t>
        <w:tab/>
        <w:t xml:space="preserve">During construction, the Environmental Inspector will monitor restoration. </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IV.</w:t>
        <w:tab/>
      </w:r>
      <w:r>
        <w:rPr>
          <w:rFonts w:eastAsia="Times New Roman" w:cs="Times New Roman" w:ascii="Times New Roman" w:hAnsi="Times New Roman"/>
          <w:sz w:val="20"/>
          <w:szCs w:val="20"/>
          <w:u w:val="single"/>
        </w:rPr>
        <w:t>PRECONSTRUCTION PLANNING</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pPr>
      <w:r>
        <w:rPr>
          <w:rFonts w:eastAsia="Times New Roman" w:cs="Times New Roman" w:ascii="Times New Roman" w:hAnsi="Times New Roman"/>
          <w:sz w:val="20"/>
          <w:szCs w:val="20"/>
        </w:rPr>
        <w:tab/>
        <w:t>Northern</w:t>
      </w:r>
      <w:r>
        <w:rPr>
          <w:rFonts w:eastAsia="Times New Roman" w:cs="Times New Roman" w:ascii="Times New Roman" w:hAnsi="Times New Roman"/>
          <w:b/>
          <w:bCs/>
          <w:i/>
          <w:iCs/>
          <w:sz w:val="20"/>
          <w:szCs w:val="20"/>
        </w:rPr>
        <w:t xml:space="preserve"> </w:t>
      </w:r>
      <w:r>
        <w:rPr>
          <w:rFonts w:eastAsia="Times New Roman" w:cs="Times New Roman" w:ascii="Times New Roman" w:hAnsi="Times New Roman"/>
          <w:sz w:val="20"/>
          <w:szCs w:val="20"/>
        </w:rPr>
        <w:t>shall do the following before construction:</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DRAIN TILE AND IRRIGATION SYSTEMS</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1440" w:end="0"/>
        <w:jc w:val="both"/>
        <w:rPr/>
      </w:pPr>
      <w:r>
        <w:rPr>
          <w:rFonts w:eastAsia="Times New Roman" w:cs="Times New Roman" w:ascii="Times New Roman" w:hAnsi="Times New Roman"/>
          <w:sz w:val="20"/>
          <w:szCs w:val="20"/>
        </w:rPr>
        <w:tab/>
        <w:tab/>
        <w:tab/>
        <w:t>Contact landowners to locate fields containing drainage tiles and irrigation systems</w:t>
      </w:r>
      <w:r>
        <w:rPr>
          <w:rFonts w:eastAsia="Times New Roman" w:cs="Times New Roman" w:ascii="Times New Roman" w:hAnsi="Times New Roman"/>
          <w:b/>
          <w:bCs/>
          <w:i/>
          <w:iCs/>
          <w:sz w:val="20"/>
          <w:szCs w:val="20"/>
        </w:rPr>
        <w:t>,</w:t>
      </w:r>
      <w:r>
        <w:rPr>
          <w:rFonts w:eastAsia="Times New Roman" w:cs="Times New Roman" w:ascii="Times New Roman" w:hAnsi="Times New Roman"/>
          <w:sz w:val="20"/>
          <w:szCs w:val="20"/>
        </w:rPr>
        <w:t xml:space="preserve"> where possible.</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ROAD CROSSINGS AND ACCESS POINTS</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Establish plans and acquire permits for all roadway crossings and access points during construction and restoration.</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C.</w:t>
        <w:tab/>
        <w:t>DISPOSAL PLANNING</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BodyText2"/>
        <w:ind w:hanging="1440" w:start="1440" w:end="0"/>
        <w:rPr/>
      </w:pPr>
      <w:r>
        <w:rPr/>
        <w:tab/>
        <w:tab/>
        <w:t>Consider methods and locations for the disposal of timber, slash, chips and excess rock.  Off-site disposal is subject to compliance with all applicable permits, laws, survey, mitigation requirements, and right-of-way provisions.</w:t>
      </w:r>
    </w:p>
    <w:p>
      <w:pPr>
        <w:pStyle w:val="BodyText2"/>
        <w:ind w:hanging="2160" w:start="2160" w:end="0"/>
        <w:rPr/>
      </w:pPr>
      <w:r>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D.</w:t>
        <w:tab/>
        <w:t>AGENCY COORDINATION</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Coordinate with the appropriate agencies.</w:t>
      </w:r>
    </w:p>
    <w:p>
      <w:pPr>
        <w:pStyle w:val="Normal"/>
        <w:tabs>
          <w:tab w:val="left" w:pos="0" w:leader="none"/>
          <w:tab w:val="left" w:pos="720" w:leader="none"/>
          <w:tab w:val="left" w:pos="1350" w:leader="none"/>
        </w:tabs>
        <w:suppressAutoHyphens w:val="true"/>
        <w:ind w:hanging="144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 xml:space="preserve">As appropriate, obtain recommendations from the local soil conservation authorities or land management agencies regarding erosion control and revegetation specifications, both temporary and permanent.  Have available all written recommendations from these or other agencies for erosion control and revegetation specifications at the project location.  </w:t>
      </w:r>
    </w:p>
    <w:p>
      <w:pPr>
        <w:pStyle w:val="Normal"/>
        <w:tabs>
          <w:tab w:val="clear" w:pos="720"/>
          <w:tab w:val="left" w:pos="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As appropriate, coordinate with the appropriate agency to prevent the introduction or spread of noxious weeds and soil pests resulting from construction and restoration activities.</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0" w:leader="none"/>
        </w:tabs>
        <w:suppressAutoHyphens w:val="true"/>
        <w:ind w:hanging="1469" w:start="-309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V.</w:t>
        <w:tab/>
        <w:t>V.</w:t>
        <w:tab/>
      </w:r>
      <w:r>
        <w:rPr>
          <w:rFonts w:eastAsia="Times New Roman" w:cs="Times New Roman" w:ascii="Times New Roman" w:hAnsi="Times New Roman"/>
          <w:sz w:val="20"/>
          <w:szCs w:val="20"/>
          <w:u w:val="single"/>
        </w:rPr>
        <w:t>INSTALLATION</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APPROVED AREAS OF DISTURBANCE</w:t>
      </w:r>
    </w:p>
    <w:p>
      <w:pPr>
        <w:pStyle w:val="Normal"/>
        <w:tabs>
          <w:tab w:val="left" w:pos="0" w:leader="none"/>
          <w:tab w:val="left" w:pos="720" w:leader="none"/>
          <w:tab w:val="left" w:pos="144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1440" w:leader="none"/>
          <w:tab w:val="left" w:pos="153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Confine construction activity and ground disturbance to the limits of permitted construction areas,  access roads and the construction right-of-way as specified in the engineering, environmental, construction, and right-of-way provisions.</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pPr>
      <w:r>
        <w:rPr>
          <w:rFonts w:eastAsia="Times New Roman" w:cs="Times New Roman" w:ascii="Times New Roman" w:hAnsi="Times New Roman"/>
          <w:sz w:val="20"/>
          <w:szCs w:val="20"/>
        </w:rPr>
        <w:tab/>
        <w:t>B.</w:t>
      </w:r>
      <w:r>
        <w:rPr>
          <w:rFonts w:eastAsia="Times New Roman" w:cs="Times New Roman" w:ascii="Times New Roman" w:hAnsi="Times New Roman"/>
          <w:b/>
          <w:bCs/>
          <w:sz w:val="20"/>
          <w:szCs w:val="20"/>
        </w:rPr>
        <w:tab/>
      </w:r>
      <w:r>
        <w:rPr>
          <w:rFonts w:eastAsia="Times New Roman" w:cs="Times New Roman" w:ascii="Times New Roman" w:hAnsi="Times New Roman"/>
          <w:sz w:val="20"/>
          <w:szCs w:val="20"/>
        </w:rPr>
        <w:t>TOPSOIL SEGREGATION</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Topsoil segregation methods are generally preferred in all residential areas and when the construction area is wider than 30 feet in:</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pPr>
      <w:r>
        <w:rPr>
          <w:rFonts w:eastAsia="Times New Roman" w:cs="Times New Roman" w:ascii="Times New Roman" w:hAnsi="Times New Roman"/>
          <w:sz w:val="20"/>
          <w:szCs w:val="20"/>
        </w:rPr>
        <w:tab/>
        <w:tab/>
        <w:tab/>
      </w:r>
      <w:r>
        <w:rPr>
          <w:rFonts w:eastAsia="Symbol" w:cs="Symbol" w:ascii="Symbol" w:hAnsi="Symbol"/>
          <w:sz w:val="20"/>
          <w:szCs w:val="20"/>
        </w:rPr>
        <w:sym w:font="Symbol" w:char="f0b7"/>
      </w:r>
      <w:r>
        <w:rPr>
          <w:rFonts w:eastAsia="Times New Roman" w:cs="Times New Roman" w:ascii="Times New Roman" w:hAnsi="Times New Roman"/>
          <w:sz w:val="20"/>
          <w:szCs w:val="20"/>
        </w:rPr>
        <w:tab/>
        <w:t xml:space="preserve">annually cultivated or rotated agricultural land including pasture;  </w:t>
      </w:r>
    </w:p>
    <w:p>
      <w:pPr>
        <w:pStyle w:val="Normal"/>
        <w:tabs>
          <w:tab w:val="left" w:pos="0" w:leader="none"/>
          <w:tab w:val="left" w:pos="720" w:leader="none"/>
          <w:tab w:val="left" w:pos="1440" w:leader="none"/>
        </w:tabs>
        <w:suppressAutoHyphens w:val="true"/>
        <w:ind w:hanging="2160" w:start="2160" w:end="0"/>
        <w:jc w:val="both"/>
        <w:rPr/>
      </w:pPr>
      <w:r>
        <w:rPr>
          <w:rFonts w:eastAsia="Times New Roman" w:cs="Times New Roman" w:ascii="Times New Roman" w:hAnsi="Times New Roman"/>
          <w:sz w:val="20"/>
          <w:szCs w:val="20"/>
        </w:rPr>
        <w:tab/>
        <w:tab/>
        <w:tab/>
      </w:r>
      <w:r>
        <w:rPr>
          <w:rFonts w:eastAsia="Symbol" w:cs="Symbol" w:ascii="Symbol" w:hAnsi="Symbol"/>
          <w:sz w:val="20"/>
          <w:szCs w:val="20"/>
        </w:rPr>
        <w:sym w:font="Symbol" w:char="f0b7"/>
      </w:r>
      <w:r>
        <w:rPr>
          <w:rFonts w:eastAsia="Times New Roman" w:cs="Times New Roman" w:ascii="Times New Roman" w:hAnsi="Times New Roman"/>
          <w:sz w:val="20"/>
          <w:szCs w:val="20"/>
        </w:rPr>
        <w:tab/>
        <w:t>hayfields; and</w:t>
      </w:r>
    </w:p>
    <w:p>
      <w:pPr>
        <w:pStyle w:val="Normal"/>
        <w:tabs>
          <w:tab w:val="left" w:pos="0" w:leader="none"/>
          <w:tab w:val="left" w:pos="720" w:leader="none"/>
          <w:tab w:val="left" w:pos="1440" w:leader="none"/>
        </w:tabs>
        <w:suppressAutoHyphens w:val="true"/>
        <w:ind w:hanging="2880" w:start="2880" w:end="0"/>
        <w:jc w:val="both"/>
        <w:rPr/>
      </w:pPr>
      <w:r>
        <w:rPr>
          <w:rFonts w:eastAsia="Times New Roman" w:cs="Times New Roman" w:ascii="Times New Roman" w:hAnsi="Times New Roman"/>
          <w:sz w:val="20"/>
          <w:szCs w:val="20"/>
        </w:rPr>
        <w:tab/>
        <w:tab/>
        <w:tab/>
      </w:r>
      <w:r>
        <w:rPr>
          <w:rFonts w:eastAsia="Symbol" w:cs="Symbol" w:ascii="Symbol" w:hAnsi="Symbol"/>
          <w:sz w:val="20"/>
          <w:szCs w:val="20"/>
        </w:rPr>
        <w:sym w:font="Symbol" w:char="f0b7"/>
      </w:r>
      <w:r>
        <w:rPr>
          <w:rFonts w:eastAsia="Times New Roman" w:cs="Times New Roman" w:ascii="Times New Roman" w:hAnsi="Times New Roman"/>
          <w:sz w:val="20"/>
          <w:szCs w:val="20"/>
        </w:rPr>
        <w:tab/>
        <w:t>other areas at the landowner’s request and as specified in the right-of-way provisions.</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Prevent the mixing of topsoil with subsoil by stripping topsoil from either the full work area or from the trench and subsoil storage area (ditch plus spoilside method).</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In residential areas topsoil replacement (i.e., importation of topsoil) is an acceptable alternative to topsoil segregation.</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4.</w:t>
        <w:tab/>
        <w:t>In deep soils (more than 12 inches of topsoil), segregate at least 12 inches of topsoil.  In soils with less than 12 inches of topsoil make every effort to segregate the entire topsoil layer.</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C.</w:t>
        <w:tab/>
        <w:t>DRAIN TILES</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Mark drain tile locations identified during construction until repairs have been completed.</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Probe all drainage tile systems within the area of disturbance to check for damage.</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Repair damaged drain tiles to their original or better condition.  Do not use filter-covered drain tiles unless the local soil conservation authorities and the landowner agree.</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4.</w:t>
        <w:tab/>
        <w:t>For new pipelines in areas where drain tiles exist, ensure that the depth of cover over the pipeline is sufficient to avoid interference with drain tile systems.  For adjacent pipeline loops in agricultural areas, install the new pipeline with at least the same depth of cover as the existing pipeline(s).</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pPr>
      <w:r>
        <w:rPr>
          <w:rFonts w:eastAsia="Times New Roman" w:cs="Times New Roman" w:ascii="Times New Roman" w:hAnsi="Times New Roman"/>
          <w:b/>
          <w:bCs/>
          <w:sz w:val="20"/>
          <w:szCs w:val="20"/>
        </w:rPr>
        <w:tab/>
      </w:r>
      <w:r>
        <w:rPr>
          <w:rFonts w:eastAsia="Times New Roman" w:cs="Times New Roman" w:ascii="Times New Roman" w:hAnsi="Times New Roman"/>
          <w:sz w:val="20"/>
          <w:szCs w:val="20"/>
        </w:rPr>
        <w:t>D.</w:t>
        <w:tab/>
        <w:t>ROAD CROSSINGS AND ACCESS POINTS</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Establish plans and acquire permits for all roadway crossings in accordance with the road crossing plans referenced in section IV.B.</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If crushed stone access pads are used in residential or active agricultural areas, placement of the stone on synthetic fabric to facilitate removal should be done under the approval of the Environmental Inspector, based on specific environmental conditions during construction.  Subsoil placed on synthetic fabric may be used as an access ramp when adequate sediment control devices are installed and when approved by the environmental inspector.</w:t>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s>
        <w:suppressAutoHyphens w:val="true"/>
        <w:ind w:hanging="2160" w:start="2160" w:end="0"/>
        <w:jc w:val="both"/>
        <w:rPr>
          <w:rFonts w:ascii="Times New Roman" w:hAnsi="Times New Roman" w:eastAsia="Times New Roman" w:cs="Times New Roman"/>
          <w:b/>
          <w:bCs/>
          <w:sz w:val="20"/>
          <w:szCs w:val="20"/>
        </w:rPr>
      </w:pPr>
      <w:r>
        <w:rPr>
          <w:rFonts w:eastAsia="Times New Roman" w:cs="Times New Roman" w:ascii="Times New Roman" w:hAnsi="Times New Roman"/>
          <w:sz w:val="20"/>
          <w:szCs w:val="20"/>
        </w:rPr>
        <w:tab/>
        <w:t>E.</w:t>
        <w:tab/>
        <w:t>TEMPORARY EROSION CONTROL</w:t>
      </w:r>
    </w:p>
    <w:p>
      <w:pPr>
        <w:pStyle w:val="Normal"/>
        <w:tabs>
          <w:tab w:val="left" w:pos="0" w:leader="none"/>
          <w:tab w:val="left" w:pos="720" w:leader="none"/>
          <w:tab w:val="left" w:pos="1440" w:leader="none"/>
          <w:tab w:val="left" w:pos="2160" w:leader="none"/>
        </w:tabs>
        <w:suppressAutoHyphens w:val="true"/>
        <w:ind w:hanging="2880" w:start="2880" w:end="0"/>
        <w:jc w:val="both"/>
        <w:rPr>
          <w:rFonts w:ascii="Times New Roman" w:hAnsi="Times New Roman" w:eastAsia="Times New Roman" w:cs="Times New Roman"/>
          <w:b/>
          <w:bCs/>
          <w:i/>
          <w:i/>
          <w:iCs/>
          <w:sz w:val="20"/>
          <w:szCs w:val="20"/>
        </w:rPr>
      </w:pPr>
      <w:r>
        <w:rPr>
          <w:rFonts w:eastAsia="Times New Roman" w:cs="Times New Roman" w:ascii="Times New Roman" w:hAnsi="Times New Roman"/>
          <w:b/>
          <w:bCs/>
          <w:i/>
          <w:iCs/>
          <w:sz w:val="20"/>
          <w:szCs w:val="20"/>
        </w:rPr>
      </w:r>
    </w:p>
    <w:p>
      <w:pPr>
        <w:pStyle w:val="Normal"/>
        <w:tabs>
          <w:tab w:val="left" w:pos="0" w:leader="none"/>
          <w:tab w:val="left" w:pos="720" w:leader="none"/>
          <w:tab w:val="left" w:pos="1440" w:leader="none"/>
        </w:tabs>
        <w:suppressAutoHyphens w:val="true"/>
        <w:ind w:hanging="1440" w:start="1440" w:end="0"/>
        <w:jc w:val="both"/>
        <w:rPr/>
      </w:pPr>
      <w:r>
        <w:rPr>
          <w:rFonts w:eastAsia="Times New Roman" w:cs="Times New Roman" w:ascii="Times New Roman" w:hAnsi="Times New Roman"/>
          <w:b/>
          <w:bCs/>
          <w:i/>
          <w:iCs/>
          <w:sz w:val="20"/>
          <w:szCs w:val="20"/>
        </w:rPr>
        <w:tab/>
        <w:tab/>
      </w:r>
      <w:r>
        <w:rPr>
          <w:rFonts w:eastAsia="Times New Roman" w:cs="Times New Roman" w:ascii="Times New Roman" w:hAnsi="Times New Roman"/>
          <w:sz w:val="20"/>
          <w:szCs w:val="20"/>
        </w:rPr>
        <w:t>Install temporary erosion controls immediately after initial grading of the ROW.</w:t>
      </w:r>
      <w:r>
        <w:rPr>
          <w:rFonts w:eastAsia="Times New Roman" w:cs="Times New Roman" w:ascii="Times New Roman" w:hAnsi="Times New Roman"/>
          <w:b/>
          <w:bCs/>
          <w:i/>
          <w:iCs/>
          <w:sz w:val="20"/>
          <w:szCs w:val="20"/>
        </w:rPr>
        <w:t xml:space="preserve">  </w:t>
      </w:r>
      <w:r>
        <w:rPr>
          <w:rFonts w:eastAsia="Times New Roman" w:cs="Times New Roman" w:ascii="Times New Roman" w:hAnsi="Times New Roman"/>
          <w:sz w:val="20"/>
          <w:szCs w:val="20"/>
        </w:rPr>
        <w:t>Temporary erosion controls must be properly maintained throughout construction and reinstalled as necessary (such as after backfilling of the trench) until replaced by permanent erosion controls or restoration is complete.</w:t>
      </w:r>
    </w:p>
    <w:p>
      <w:pPr>
        <w:pStyle w:val="Normal"/>
        <w:tabs>
          <w:tab w:val="left" w:pos="0" w:leader="none"/>
          <w:tab w:val="left" w:pos="720" w:leader="none"/>
          <w:tab w:val="left" w:pos="144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Temporary Slope Breakers</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w:t>
        <w:tab/>
        <w:t>Temporary slope breakers are intended to reduce runoff velocity and divert water off the construction right-of-way.  Temporary slope breakers may be constructed of materials such as soil, silt fence, staked hay or straw bales, or sand bags.</w:t>
      </w:r>
    </w:p>
    <w:p>
      <w:pPr>
        <w:pStyle w:val="Normal"/>
        <w:tabs>
          <w:tab w:val="left" w:pos="0" w:leader="none"/>
          <w:tab w:val="left" w:pos="720" w:leader="none"/>
          <w:tab w:val="left" w:pos="1440" w:leader="none"/>
          <w:tab w:val="left" w:pos="2160" w:leader="none"/>
          <w:tab w:val="left" w:pos="3600" w:leader="none"/>
        </w:tabs>
        <w:suppressAutoHyphens w:val="true"/>
        <w:ind w:hanging="3600" w:start="36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b.</w:t>
        <w:tab/>
        <w:t>Construct temporary slope breakers using the written recommendations of the local soil conservation authorities.  In the absence of these recommendations, install temporary slope breakers at the following spacing:</w:t>
      </w:r>
    </w:p>
    <w:p>
      <w:pPr>
        <w:pStyle w:val="Normal"/>
        <w:tabs>
          <w:tab w:val="left" w:pos="0" w:leader="none"/>
          <w:tab w:val="left" w:pos="720" w:leader="none"/>
          <w:tab w:val="left" w:pos="1440" w:leader="none"/>
          <w:tab w:val="left" w:pos="2160" w:leader="none"/>
          <w:tab w:val="left" w:pos="3600" w:leader="none"/>
        </w:tabs>
        <w:suppressAutoHyphens w:val="true"/>
        <w:ind w:hanging="1469"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r>
      <w:r>
        <w:rPr>
          <w:rFonts w:eastAsia="Times New Roman" w:cs="Times New Roman" w:ascii="Times New Roman" w:hAnsi="Times New Roman"/>
          <w:sz w:val="20"/>
          <w:szCs w:val="20"/>
          <w:u w:val="single"/>
        </w:rPr>
        <w:t>Slope (%)</w:t>
      </w:r>
      <w:r>
        <w:rPr>
          <w:rFonts w:eastAsia="Times New Roman" w:cs="Times New Roman" w:ascii="Times New Roman" w:hAnsi="Times New Roman"/>
          <w:sz w:val="20"/>
          <w:szCs w:val="20"/>
        </w:rPr>
        <w:tab/>
        <w:tab/>
      </w:r>
      <w:r>
        <w:rPr>
          <w:rFonts w:eastAsia="Times New Roman" w:cs="Times New Roman" w:ascii="Times New Roman" w:hAnsi="Times New Roman"/>
          <w:sz w:val="20"/>
          <w:szCs w:val="20"/>
          <w:u w:val="single"/>
        </w:rPr>
        <w:t>Spacing (feet)</w:t>
      </w:r>
    </w:p>
    <w:p>
      <w:pPr>
        <w:pStyle w:val="Normal"/>
        <w:tabs>
          <w:tab w:val="left" w:pos="0" w:leader="none"/>
          <w:tab w:val="left" w:pos="720" w:leader="none"/>
          <w:tab w:val="left" w:pos="1440" w:leader="none"/>
          <w:tab w:val="left" w:pos="2160" w:leader="none"/>
          <w:tab w:val="left" w:pos="3600" w:leader="none"/>
        </w:tabs>
        <w:suppressAutoHyphens w:val="true"/>
        <w:ind w:hanging="3600" w:start="36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 xml:space="preserve">     5-15</w:t>
        <w:tab/>
        <w:tab/>
        <w:tab/>
        <w:t xml:space="preserve">        300</w:t>
      </w:r>
    </w:p>
    <w:p>
      <w:pPr>
        <w:pStyle w:val="Normal"/>
        <w:tabs>
          <w:tab w:val="left" w:pos="0" w:leader="none"/>
          <w:tab w:val="left" w:pos="720" w:leader="none"/>
          <w:tab w:val="left" w:pos="1440" w:leader="none"/>
          <w:tab w:val="left" w:pos="2160" w:leader="none"/>
          <w:tab w:val="left" w:pos="3600" w:leader="none"/>
        </w:tabs>
        <w:suppressAutoHyphens w:val="true"/>
        <w:ind w:hanging="3600" w:start="36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&gt;15-30</w:t>
        <w:tab/>
        <w:tab/>
        <w:tab/>
        <w:t xml:space="preserve">        200</w:t>
      </w:r>
    </w:p>
    <w:p>
      <w:pPr>
        <w:pStyle w:val="Normal"/>
        <w:tabs>
          <w:tab w:val="left" w:pos="0" w:leader="none"/>
          <w:tab w:val="left" w:pos="720" w:leader="none"/>
          <w:tab w:val="left" w:pos="1440" w:leader="none"/>
          <w:tab w:val="left" w:pos="2160" w:leader="none"/>
          <w:tab w:val="left" w:pos="3600" w:leader="none"/>
        </w:tabs>
        <w:suppressAutoHyphens w:val="true"/>
        <w:ind w:hanging="3600" w:start="36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 xml:space="preserve">     &gt;30</w:t>
        <w:tab/>
        <w:tab/>
        <w:tab/>
        <w:t xml:space="preserve">        100</w:t>
      </w:r>
    </w:p>
    <w:p>
      <w:pPr>
        <w:pStyle w:val="Normal"/>
        <w:tabs>
          <w:tab w:val="left" w:pos="0" w:leader="none"/>
          <w:tab w:val="left" w:pos="720" w:leader="none"/>
          <w:tab w:val="left" w:pos="1440" w:leader="none"/>
          <w:tab w:val="left" w:pos="2160" w:leader="none"/>
          <w:tab w:val="left" w:pos="3600" w:leader="none"/>
        </w:tabs>
        <w:suppressAutoHyphens w:val="true"/>
        <w:ind w:hanging="3600" w:start="36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189"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c.</w:t>
        <w:tab/>
        <w:t>Direct the outfall of each temporary slope breaker to a stable, well vegetated area or construct an energy-dissipating device at the end of the slope breaker and off the construction right-of-way.</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16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d.</w:t>
        <w:tab/>
        <w:t>Inspect and maintain temporary slope breakers as specified in sections III.B.11. through 13.</w:t>
      </w:r>
    </w:p>
    <w:p>
      <w:pPr>
        <w:pStyle w:val="Normal"/>
        <w:tabs>
          <w:tab w:val="left" w:pos="0" w:leader="none"/>
          <w:tab w:val="left" w:pos="720" w:leader="none"/>
          <w:tab w:val="left" w:pos="1440" w:leader="none"/>
          <w:tab w:val="left" w:pos="2160" w:leader="none"/>
          <w:tab w:val="left" w:pos="3600" w:leader="none"/>
        </w:tabs>
        <w:suppressAutoHyphens w:val="true"/>
        <w:ind w:hanging="3600" w:start="36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1469"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Sediment Barriers</w:t>
      </w:r>
    </w:p>
    <w:p>
      <w:pPr>
        <w:pStyle w:val="Normal"/>
        <w:tabs>
          <w:tab w:val="left" w:pos="0" w:leader="none"/>
          <w:tab w:val="left" w:pos="720" w:leader="none"/>
          <w:tab w:val="left" w:pos="1440" w:leader="none"/>
          <w:tab w:val="left" w:pos="2160" w:leader="none"/>
          <w:tab w:val="left" w:pos="3600" w:leader="none"/>
        </w:tabs>
        <w:suppressAutoHyphens w:val="true"/>
        <w:ind w:hanging="3600" w:start="36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189"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w:t>
        <w:tab/>
        <w:t>Sediment barriers are intended to stop the flow of sediment.  They may be constructed of materials such as silt fence, staked hay or straw bales, or sand bags.</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189"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b.</w:t>
        <w:tab/>
        <w:t>Install temporary sediment barriers at the base of slopes adjacent to road crossings until disturbed vegetation has been reestablished.</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c.</w:t>
        <w:tab/>
        <w:t>Install temporary sediment barriers at appropriate locations to prevent siltation into waterbodies or wetlands crossed by or near the construction work area (as required in the Procedures).</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d.</w:t>
        <w:tab/>
        <w:t>Inspect and maintain all temporary sediment barriers as specified in sections III.B.11 through 13.</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16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e.</w:t>
        <w:tab/>
        <w:t>Maintain all temporary sediment barriers in place until permanent revegetation measures are successful or the upland areas adjacent to wetlands, waterbodies, or roads are stabilized.</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WW-BodyText2"/>
        <w:rPr/>
      </w:pPr>
      <w:r>
        <w:rPr/>
        <w:tab/>
        <w:tab/>
        <w:tab/>
        <w:t>f.</w:t>
        <w:tab/>
        <w:t>Remove temporary sediment barriers from an area when that area is successfully restored as specified in section VIII.A.4.</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Mulch</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w:t>
        <w:tab/>
        <w:t>Mulch is intended to stabilize the soil surface.  Mulch must be weed and debris free and can consist of straw, hay, erosion control fabric, or some functional equivalent.</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b.</w:t>
        <w:tab/>
        <w:t>Apply mulch in accordance with the specifications outlined in this section except where the land manager has requested otherwise. If mulching before seeding, increase mulch application on all slopes within 100 feet of waterbodies and wetlands to a rate of 3 tons/acre.</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c.</w:t>
        <w:tab/>
        <w:t xml:space="preserve">Mulch before seeding in areas as in d) below if final cleanup must be temporarily postponed due to seasonal conditions or if designated by Company. </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d.</w:t>
        <w:tab/>
        <w:t>On all dry, sandy sites and slopes greater than 8 percent, spread mulch uniformly over the area to cover at least 75 percent of the ground surface at a rate of 2 tons/acre of straw or hay or its equivalent, unless the local soil conservation authority makes other recommendations.  If wood chips are used as mulch, do not use more than 1 ton/acre and add the equivalent of 11 lbs/acre available nitrogen (at least 50 percent of which is slow release).</w:t>
      </w:r>
    </w:p>
    <w:p>
      <w:pPr>
        <w:pStyle w:val="Normal"/>
        <w:tabs>
          <w:tab w:val="left" w:pos="0" w:leader="none"/>
          <w:tab w:val="left" w:pos="720" w:leader="none"/>
          <w:tab w:val="left" w:pos="1440" w:leader="none"/>
          <w:tab w:val="left" w:pos="2160"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e.</w:t>
        <w:tab/>
        <w:t>If a mulch blower is used, the strands of the mulching material shall be at least 8 inches long to allow anchoring.</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f.</w:t>
        <w:tab/>
        <w:t>Ensure that mulch is anchored to minimize loss by wind and water, unless the ground is saturated, frozen, or covered with snow at time of application or ground surface conditions, such as steep grade, do not allow the safe use of anchoring equipment.</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g.</w:t>
        <w:tab/>
        <w:t>When anchoring by mechanical means, use a mulch anchoring tool to properly crimp the mulch to a depth of 2 to 3 inches.</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h.</w:t>
        <w:tab/>
        <w:t>When anchoring with liquid mulch binders, use rates recommended by the manufacturer.  Do not use liquid mulch binders within 100 feet of wetlands or waterbodies.</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i.</w:t>
        <w:tab/>
        <w:t>Install erosion control fabric, such as jute thatching or bonded fiber blankets, on waterbody banks during final bank recontouring when the bank is subject to constant water action and at locations designated by Company.  Anchor the erosion control fabric with staples or other appropriate devices.</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3600" w:start="36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VI.</w:t>
        <w:tab/>
      </w:r>
      <w:r>
        <w:rPr>
          <w:rFonts w:eastAsia="Times New Roman" w:cs="Times New Roman" w:ascii="Times New Roman" w:hAnsi="Times New Roman"/>
          <w:sz w:val="20"/>
          <w:szCs w:val="20"/>
          <w:u w:val="single"/>
        </w:rPr>
        <w:t>RESTORATION</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CLEANUP</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Make every effort to complete final cleanup (including final grading and installation of permanent erosion control structures) within 10 days after backfilling the trench on the project.  If this schedule cannot be met, final cleanup must be completed as soon as possible.  In no case shall final cleanup be delayed beyond the end of the next recommended seeding season.</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A travel lane may be left open temporarily to allow access by construction traffic if the temporary erosion control structures are installed as specified in section V.E. and inspected and maintained as specified in sections III.B.11  through 13.  When access is no longer required the travel lane must be removed and the right-of-way restored, unless an agency requests otherwise.</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Allow excess rock to be returned to trench backfill to within 12” of the top of the ground if NOT in cultivated land or if not otherwise prohibited by agency, land owner or right-of-way conditions.</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4.</w:t>
        <w:tab/>
        <w:t>The size, density, and distribution of rock on the construction work area should be similar to adjacent areas not disturbed by construction.  Make diligent efforts to remove stones greater than 4 inches if the off right-of-way areas do not contain stones greater than 4 inches.  The landowner may approve other rock size provisions in writing.</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5.</w:t>
        <w:tab/>
        <w:t>Remove construction debris from the right-of-way and grade the right-of-way to leave the soil in the proper condition for planting.</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360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PERMANENT EROSION CONTROL DEVICES</w:t>
      </w:r>
    </w:p>
    <w:p>
      <w:pPr>
        <w:pStyle w:val="Normal"/>
        <w:tabs>
          <w:tab w:val="left" w:pos="0" w:leader="none"/>
          <w:tab w:val="left" w:pos="720" w:leader="none"/>
          <w:tab w:val="left" w:pos="1440" w:leader="none"/>
          <w:tab w:val="left" w:pos="2160"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4"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Trench Breakers</w:t>
      </w:r>
    </w:p>
    <w:p>
      <w:pPr>
        <w:pStyle w:val="Normal"/>
        <w:tabs>
          <w:tab w:val="left" w:pos="0" w:leader="none"/>
          <w:tab w:val="left" w:pos="720" w:leader="none"/>
          <w:tab w:val="left" w:pos="1440" w:leader="none"/>
          <w:tab w:val="left" w:pos="2160" w:leader="none"/>
          <w:tab w:val="left" w:pos="2854"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4" w:start="285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w:t>
        <w:tab/>
        <w:t>Trench breakers are intended to slow the flow of subsurface water along the trench.  Trench breakers may be constructed of materials such as sand bags or polyurethane foam.  Do not use topsoil in trench breakers.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b.</w:t>
        <w:tab/>
        <w:t>An engineer or similarly qualified professional shall determine the need for and spacing of trench breakers.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c.</w:t>
        <w:tab/>
        <w:t>Install trench breakers at the base of slopes adjacent to waterbodies and wetlands and where needed to avoid draining of a wetland.</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Permanent Slope Breakers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w:t>
        <w:tab/>
        <w:t>Permanent slope breakers are intended to reduce runoff velocity and divert water off the construction right-of-way.  Permanent slope breakers may be constructed of materials such as soil and sand bags.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b.</w:t>
        <w:tab/>
        <w:t>Construct and maintain permanent slope breakers in all areas, except cultivated areas and lawns, using the spacing recommendations obtained from the local soil conservation authority.  In the absence of written recommendations, use the spacing for temporary slope breakers provided in section V.E.1.b.</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c.</w:t>
        <w:tab/>
        <w:t>Construct slope breakers with a 2  to 8 percent outslope to divert surface flow to a stable area.  In the absence of a stable area, construct appropriate energy-dissipating devices off the construction right-of-way.  Where slope breakers extend beyond the edge of the construction right-of-way to direct runoff into stabilized areas, they are subject to compliance with all applicable survey requirements.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C.</w:t>
        <w:tab/>
        <w:t>SOIL COMPACTION MITIGATION</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Check topsoil and subsoil for compaction at the start and end of the project in agricultural and residential areas disturbed by construction activities.  Conduct checks on the same soil type under similar moisture conditions in undisturbed areas to identify approximate preconstruction conditions.  Work with the land manager to determine the desired level of compaction.</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Plow compacted agricultural areas with a paraplow or other deep tillage implement.  In areas where topsoil has been segregated, plow the subsoil before replacing the segregated topsoil.  Alternatively, make arrangements with the landowner to plant and plow under a “green manure” crop, such as alfalfa, to decrease soil bulk density and improve soil structure.  If subsequent construction and cleanup activities result in further compaction, conduct additional tilling.</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Perform appropriate soil compaction mitigation in severely compacted residential areas.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D.</w:t>
        <w:tab/>
        <w:t>REVEGETATION</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General</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pPr>
      <w:r>
        <w:rPr>
          <w:rFonts w:eastAsia="Times New Roman" w:cs="Times New Roman" w:ascii="Times New Roman" w:hAnsi="Times New Roman"/>
          <w:sz w:val="20"/>
          <w:szCs w:val="20"/>
        </w:rPr>
        <w:tab/>
        <w:tab/>
        <w:tab/>
        <w:t>a.</w:t>
        <w:tab/>
        <w:t>Northern</w:t>
      </w:r>
      <w:r>
        <w:rPr>
          <w:rFonts w:eastAsia="Times New Roman" w:cs="Times New Roman" w:ascii="Times New Roman" w:hAnsi="Times New Roman"/>
          <w:b/>
          <w:bCs/>
          <w:i/>
          <w:iCs/>
          <w:sz w:val="20"/>
          <w:szCs w:val="20"/>
        </w:rPr>
        <w:t xml:space="preserve"> </w:t>
      </w:r>
      <w:r>
        <w:rPr>
          <w:rFonts w:eastAsia="Times New Roman" w:cs="Times New Roman" w:ascii="Times New Roman" w:hAnsi="Times New Roman"/>
          <w:sz w:val="20"/>
          <w:szCs w:val="20"/>
        </w:rPr>
        <w:t>and its contractor</w:t>
      </w:r>
      <w:r>
        <w:rPr>
          <w:rFonts w:eastAsia="Times New Roman" w:cs="Times New Roman" w:ascii="Times New Roman" w:hAnsi="Times New Roman"/>
          <w:i/>
          <w:iCs/>
          <w:sz w:val="20"/>
          <w:szCs w:val="20"/>
        </w:rPr>
        <w:t xml:space="preserve"> </w:t>
      </w:r>
      <w:r>
        <w:rPr>
          <w:rFonts w:eastAsia="Times New Roman" w:cs="Times New Roman" w:ascii="Times New Roman" w:hAnsi="Times New Roman"/>
          <w:sz w:val="20"/>
          <w:szCs w:val="20"/>
        </w:rPr>
        <w:t>are</w:t>
      </w:r>
      <w:r>
        <w:rPr>
          <w:rFonts w:eastAsia="Times New Roman" w:cs="Times New Roman" w:ascii="Times New Roman" w:hAnsi="Times New Roman"/>
          <w:b/>
          <w:bCs/>
          <w:i/>
          <w:iCs/>
          <w:sz w:val="20"/>
          <w:szCs w:val="20"/>
        </w:rPr>
        <w:t xml:space="preserve"> </w:t>
      </w:r>
      <w:r>
        <w:rPr>
          <w:rFonts w:eastAsia="Times New Roman" w:cs="Times New Roman" w:ascii="Times New Roman" w:hAnsi="Times New Roman"/>
          <w:sz w:val="20"/>
          <w:szCs w:val="20"/>
        </w:rPr>
        <w:t>responsible for ensuring successful revegetation of soils disturbed by project-related activities, except as noted in section VI.D.1.b. below.</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b.</w:t>
        <w:tab/>
        <w:t xml:space="preserve">Restore  turf, ornamental shrubs, and specialized landscaping which are outside of an established width defined right-of-way  or compensate the landowner for said landscaping unless specifically stated otherwise in the right-of-way grant document.  </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Seeding Requirements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pPr>
      <w:r>
        <w:rPr>
          <w:rFonts w:eastAsia="Times New Roman" w:cs="Times New Roman" w:ascii="Times New Roman" w:hAnsi="Times New Roman"/>
          <w:b/>
          <w:bCs/>
          <w:sz w:val="20"/>
          <w:szCs w:val="20"/>
        </w:rPr>
        <w:tab/>
        <w:tab/>
        <w:tab/>
      </w:r>
      <w:r>
        <w:rPr>
          <w:rFonts w:eastAsia="Times New Roman" w:cs="Times New Roman" w:ascii="Times New Roman" w:hAnsi="Times New Roman"/>
          <w:sz w:val="20"/>
          <w:szCs w:val="20"/>
        </w:rPr>
        <w:t>a.</w:t>
        <w:tab/>
        <w:t>Prepare a seedbed in disturbed areas to a depth of 3 to 4 inches, where possible</w:t>
      </w:r>
      <w:r>
        <w:rPr>
          <w:rFonts w:eastAsia="Times New Roman" w:cs="Times New Roman" w:ascii="Times New Roman" w:hAnsi="Times New Roman"/>
          <w:b/>
          <w:bCs/>
          <w:i/>
          <w:iCs/>
          <w:sz w:val="20"/>
          <w:szCs w:val="20"/>
        </w:rPr>
        <w:t>,</w:t>
      </w:r>
      <w:r>
        <w:rPr>
          <w:rFonts w:eastAsia="Times New Roman" w:cs="Times New Roman" w:ascii="Times New Roman" w:hAnsi="Times New Roman"/>
          <w:sz w:val="20"/>
          <w:szCs w:val="20"/>
        </w:rPr>
        <w:t xml:space="preserve"> using appropriate equipment to provide a firm seedbed.  When hydroseeding, scarify the seedbed to facilitate lodging and germination of seed.</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b.</w:t>
        <w:tab/>
        <w:t>Seed disturbed areas in accordance with recommendations for seed mixes, rates, and dates obtained from the local soil conservation authority or land management agencies, except in upland areas where landowners request alternative seed mixes.  Seeding and mulching in cultivated cropland shall conform with the adjacent off right-of-way area unless otherwise requested by the landowner .</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c.</w:t>
        <w:tab/>
        <w:t>Perform seeding of permanent vegetation within the recommended seeding dates.  If seeding cannot be done within those dates, use appropriate temporary erosion control measures discussed in section V.E. and perform seeding of permanent vegetation at the beginning of the next recommended seeding season.  Lawns may be seeded on a schedule established with the landowner.</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d.</w:t>
        <w:tab/>
        <w:t>Seed slopes steeper than 33 percent immediately after final grading only if seeding cannot be done immediately after construction, subject to the specifications in section VI.D.2.a-c.</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pPr>
      <w:r>
        <w:rPr>
          <w:rFonts w:eastAsia="Times New Roman" w:cs="Times New Roman" w:ascii="Times New Roman" w:hAnsi="Times New Roman"/>
          <w:sz w:val="20"/>
          <w:szCs w:val="20"/>
        </w:rPr>
        <w:tab/>
        <w:tab/>
        <w:tab/>
        <w:t>e.</w:t>
        <w:tab/>
        <w:t>To the extent possible</w:t>
      </w:r>
      <w:r>
        <w:rPr>
          <w:rFonts w:eastAsia="Times New Roman" w:cs="Times New Roman" w:ascii="Times New Roman" w:hAnsi="Times New Roman"/>
          <w:b/>
          <w:bCs/>
          <w:i/>
          <w:iCs/>
          <w:sz w:val="20"/>
          <w:szCs w:val="20"/>
        </w:rPr>
        <w:t>,</w:t>
      </w:r>
      <w:r>
        <w:rPr>
          <w:rFonts w:eastAsia="Times New Roman" w:cs="Times New Roman" w:ascii="Times New Roman" w:hAnsi="Times New Roman"/>
          <w:sz w:val="20"/>
          <w:szCs w:val="20"/>
        </w:rPr>
        <w:t xml:space="preserve"> seed all disturbed soils as soon as practical after final grading of the project, weather and soil conditions permitting, subject to the specifications in section VI.D.2.a-c.</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f.</w:t>
        <w:tab/>
        <w:t>Base seeding rates on Pure Live Seed.  Use seed within 12 months of seed testing.</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g.</w:t>
        <w:tab/>
        <w:t>Treat legume seed with an inoculant specific to the species.  For conventional seeding, use 4 times the manufacturer’s recommended rate of inoculant.  For hydroseeding, use 10 times the recommended rate of inoculant.</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h.</w:t>
        <w:tab/>
        <w:t>Uniformly apply and cover seed in accordance with the written recommendations of the local soil conservation authorities or land management agencies.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i.</w:t>
        <w:tab/>
        <w:t>In the absence of recommendations referred to in section VI.D.2.h. above, a seed drill equipped with a cultipacker is preferred for application, but broadcast or hydroseeding can be used at double the recommended seeding rates.  Where seed is broadcast, firm the seedbed with a cultipacker or roller after seeding.</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VII.</w:t>
        <w:tab/>
      </w:r>
      <w:r>
        <w:rPr>
          <w:rFonts w:eastAsia="Times New Roman" w:cs="Times New Roman" w:ascii="Times New Roman" w:hAnsi="Times New Roman"/>
          <w:sz w:val="20"/>
          <w:szCs w:val="20"/>
          <w:u w:val="single"/>
        </w:rPr>
        <w:t>OFF-ROAD VEHICLE CONTROL</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To each owner or manager of forested lands offer to install and maintain measures to control</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unauthorized vehicle access to the right-of-way. </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VIII.</w:t>
        <w:tab/>
      </w:r>
      <w:r>
        <w:rPr>
          <w:rFonts w:eastAsia="Times New Roman" w:cs="Times New Roman" w:ascii="Times New Roman" w:hAnsi="Times New Roman"/>
          <w:sz w:val="20"/>
          <w:szCs w:val="20"/>
          <w:u w:val="single"/>
        </w:rPr>
        <w:t>POST-CONSTRUCTION ACTIVITIES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 xml:space="preserve">MONITORING AND MAINTENANCE </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Conduct follow-up inspections of all disturbed areas after the first and second growing seasons to determine the success of revegetation.</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856" w:start="285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 xml:space="preserve">Revegetation shall be considered successful if upon visual survey the density and cover of non-nuisance vegetation (or crops in cultivated cropland) are similar in cover and 80% of the density of adjacent undisturbed lands.  If vegetative cover and density do not meet this criteria or there are excessive noxious weeds after two full growing seasons, a Northern representative shall determine the need for additional restoration measures (such as fertilizing or reseeding). </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Monitor and correct problems with drainage and irrigation systems resulting from pipeline construction in active agricultural areas.</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4.</w:t>
        <w:tab/>
        <w:t>Restoration shall be considered successful if the right-of-way surface condition is similar to adjacent undisturbed lands, revegetation is successful, and all temporary erosion control devices are removed.</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5.</w:t>
        <w:tab/>
        <w:t>Efforts to control unauthorized off-road vehicle use, in cooperation with the landowner, shall continue throughout the life of the project.  Maintain signs, gates, and vehicle trails as necessary.</w:t>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ind w:hanging="2160" w:start="21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0" w:leader="none"/>
          <w:tab w:val="left" w:pos="720" w:leader="none"/>
          <w:tab w:val="left" w:pos="1440" w:leader="none"/>
          <w:tab w:val="left" w:pos="2160" w:leader="none"/>
          <w:tab w:val="left" w:pos="2856" w:leader="none"/>
          <w:tab w:val="left" w:pos="3600" w:leader="none"/>
        </w:tabs>
        <w:suppressAutoHyphens w:val="tru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sectPr>
      <w:headerReference w:type="default" r:id="rId4"/>
      <w:footerReference w:type="default" r:id="rId5"/>
      <w:type w:val="nextPage"/>
      <w:pgSz w:w="12240" w:h="15840"/>
      <w:pgMar w:left="1800" w:right="1800" w:gutter="0" w:header="720" w:top="776" w:footer="720" w:bottom="77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Times New Roman">
    <w:charset w:val="01"/>
    <w:family w:val="roman"/>
    <w:pitch w:val="variable"/>
  </w:font>
  <w:font w:name="Liberation Sans">
    <w:altName w:val="Arial"/>
    <w:charset w:val="01" w:characterSet="utf-8"/>
    <w:family w:val="swiss"/>
    <w:pitch w:val="variable"/>
  </w:font>
  <w:font w:name="Tahoma">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284" w:after="0"/>
      <w:rPr>
        <w:sz w:val="16"/>
        <w:szCs w:val="16"/>
      </w:rPr>
    </w:pPr>
    <w:r>
      <w:rPr>
        <w:sz w:val="16"/>
        <w:szCs w:val="16"/>
      </w:rPr>
    </w:r>
  </w:p>
  <w:p>
    <w:pPr>
      <w:pStyle w:val="Footer"/>
      <w:tabs>
        <w:tab w:val="clear" w:pos="360"/>
        <w:tab w:val="clear" w:pos="9000"/>
        <w:tab w:val="right" w:pos="8640" w:leader="none"/>
      </w:tabs>
      <w:jc w:val="end"/>
      <w:rPr>
        <w:rFonts w:ascii="Times New Roman" w:hAnsi="Times New Roman" w:eastAsia="Times New Roman" w:cs="Times New Roman"/>
      </w:rPr>
    </w:pPr>
    <w:r>
      <w:rPr>
        <w:rFonts w:eastAsia="Times New Roman" w:cs="Times New Roman" w:ascii="Times New Roman" w:hAnsi="Times New Roman"/>
        <w:sz w:val="16"/>
        <w:szCs w:val="16"/>
      </w:rPr>
      <w:t>Revised 1/18/99</w:t>
    </w:r>
  </w:p>
  <w:p>
    <w:pPr>
      <w:pStyle w:val="Footer"/>
      <w:tabs>
        <w:tab w:val="clear" w:pos="360"/>
        <w:tab w:val="clear" w:pos="9000"/>
        <w:tab w:val="left" w:pos="0" w:leader="none"/>
        <w:tab w:val="right" w:pos="8640" w:leader="none"/>
      </w:tabs>
      <w:rPr>
        <w:rFonts w:ascii="Times New Roman" w:hAnsi="Times New Roman" w:eastAsia="Times New Roman" w:cs="Times New Roman"/>
      </w:rPr>
    </w:pPr>
    <w:r>
      <w:rPr>
        <w:rFonts w:eastAsia="Times New Roman" w:cs="Times New Roman" w:ascii="Times New Roman" w:hAnsi="Times New Roman"/>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szCs w:val="16"/>
      </w:rPr>
    </w:pPr>
    <w:r>
      <w:rPr>
        <w:sz w:val="16"/>
        <w:szCs w:val="16"/>
      </w:rPr>
      <w:t>Revised 1/18/99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284" w:after="0"/>
      <w:rPr>
        <w:sz w:val="10"/>
        <w:szCs w:val="10"/>
      </w:rPr>
    </w:pPr>
    <w:r>
      <w:rPr>
        <w:sz w:val="10"/>
        <w:szCs w:val="10"/>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486400" cy="292100"/>
              <wp:effectExtent l="0" t="0" r="0" b="0"/>
              <wp:wrapSquare wrapText="bothSides"/>
              <wp:docPr id="1" name="Frame1"/>
              <a:graphic xmlns:a="http://schemas.openxmlformats.org/drawingml/2006/main">
                <a:graphicData uri="http://schemas.microsoft.com/office/word/2010/wordprocessingShape">
                  <wps:wsp>
                    <wps:cNvSpPr txBox="1"/>
                    <wps:spPr>
                      <a:xfrm>
                        <a:off x="0" y="0"/>
                        <a:ext cx="5486400" cy="292100"/>
                      </a:xfrm>
                      <a:prstGeom prst="rect"/>
                      <a:solidFill>
                        <a:srgbClr val="FFFFFF">
                          <a:alpha val="0"/>
                        </a:srgbClr>
                      </a:solidFill>
                    </wps:spPr>
                    <wps:txbx>
                      <w:txbxContent>
                        <w:p>
                          <w:pPr>
                            <w:pStyle w:val="Footer"/>
                            <w:rPr>
                              <w:rStyle w:val="PageNumber"/>
                              <w:sz w:val="20"/>
                              <w:szCs w:val="20"/>
                            </w:rPr>
                          </w:pPr>
                          <w:r>
                            <w:rPr/>
                          </w:r>
                        </w:p>
                        <w:p>
                          <w:pPr>
                            <w:pStyle w:val="Footer"/>
                            <w:jc w:val="cen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9</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432pt;height:23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20"/>
                        <w:szCs w:val="20"/>
                      </w:rPr>
                    </w:pPr>
                    <w:r>
                      <w:rPr/>
                    </w:r>
                  </w:p>
                  <w:p>
                    <w:pPr>
                      <w:pStyle w:val="Footer"/>
                      <w:jc w:val="cen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9</w:t>
                    </w:r>
                    <w:r>
                      <w:rPr>
                        <w:rStyle w:val="PageNumber"/>
                        <w:sz w:val="20"/>
                        <w:szCs w:val="20"/>
                      </w:rPr>
                      <w:fldChar w:fldCharType="end"/>
                    </w:r>
                  </w:p>
                </w:txbxContent>
              </v:textbox>
              <w10:wrap type="square"/>
            </v:rect>
          </w:pict>
        </mc:Fallback>
      </mc:AlternateContent>
    </w:r>
  </w:p>
  <w:p>
    <w:pPr>
      <w:pStyle w:val="Footer"/>
      <w:tabs>
        <w:tab w:val="clear" w:pos="360"/>
        <w:tab w:val="clear" w:pos="9000"/>
        <w:tab w:val="right" w:pos="8640" w:leader="none"/>
      </w:tabs>
      <w:jc w:val="end"/>
      <w:rPr/>
    </w:pPr>
    <w:r>
      <w:rPr>
        <w:rStyle w:val="PageNumber"/>
        <w:rFonts w:eastAsia="Times New Roman" w:cs="Times New Roman" w:ascii="Times New Roman" w:hAnsi="Times New Roman"/>
        <w:sz w:val="16"/>
        <w:szCs w:val="16"/>
      </w:rPr>
      <w:t>Revised 1/18/99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360"/>
        <w:tab w:val="clear" w:pos="9000"/>
        <w:tab w:val="left" w:pos="0" w:leader="none"/>
        <w:tab w:val="right" w:pos="8640" w:leader="none"/>
      </w:tabs>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100" w:before="0" w:after="380"/>
      <w:rPr>
        <w:rFonts w:ascii="Times New Roman" w:hAnsi="Times New Roman" w:eastAsia="Times New Roman" w:cs="Times New Roman"/>
        <w:sz w:val="10"/>
        <w:szCs w:val="10"/>
      </w:rPr>
    </w:pPr>
    <w:r>
      <w:rPr>
        <w:rFonts w:eastAsia="Times New Roman" w:cs="Times New Roman" w:ascii="Times New Roman" w:hAnsi="Times New Roman"/>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keepNext w:val="true"/>
      <w:numPr>
        <w:ilvl w:val="0"/>
        <w:numId w:val="1"/>
      </w:numPr>
      <w:suppressAutoHyphens w:val="true"/>
      <w:jc w:val="center"/>
      <w:outlineLvl w:val="0"/>
    </w:pPr>
    <w:rPr>
      <w:rFonts w:ascii="Times New Roman" w:hAnsi="Times New Roman" w:eastAsia="Times New Roman" w:cs="Times New Roman"/>
      <w:b/>
      <w:bCs/>
    </w:rPr>
  </w:style>
  <w:style w:type="character" w:styleId="DefaultParagraphFont">
    <w:name w:val="Default Paragraph Font"/>
    <w:qFormat/>
    <w:rPr/>
  </w:style>
  <w:style w:type="character" w:styleId="PageNumber">
    <w:name w:val="page number"/>
    <w:basedOn w:val="DefaultParagraphFont"/>
    <w:rPr/>
  </w:style>
  <w:style w:type="character" w:styleId="DefaultParagraphFo">
    <w:name w:val="Default Paragraph Fo"/>
    <w:basedOn w:val="DefaultParagraphFont"/>
    <w:qFormat/>
    <w:rPr/>
  </w:style>
  <w:style w:type="character" w:styleId="EquationCaption">
    <w:name w:val="_Equation Caption"/>
    <w:qForma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360" w:leader="none"/>
        <w:tab w:val="right" w:pos="9000" w:leader="none"/>
      </w:tabs>
      <w:suppressAutoHyphens w:val="true"/>
    </w:pPr>
    <w:rPr/>
  </w:style>
  <w:style w:type="paragraph" w:styleId="Footer">
    <w:name w:val="footer"/>
    <w:basedOn w:val="Normal"/>
    <w:pPr>
      <w:tabs>
        <w:tab w:val="clear" w:pos="720"/>
        <w:tab w:val="left" w:pos="360" w:leader="none"/>
        <w:tab w:val="right" w:pos="9000" w:leader="none"/>
      </w:tabs>
      <w:suppressAutoHyphens w:val="true"/>
    </w:pPr>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DocumentMap">
    <w:name w:val="Document Map"/>
    <w:basedOn w:val="Normal"/>
    <w:qFormat/>
    <w:pPr>
      <w:shd w:fill="000080" w:val="clear"/>
    </w:pPr>
    <w:rPr>
      <w:rFonts w:ascii="Tahoma" w:hAnsi="Tahoma" w:eastAsia="Tahoma" w:cs="Tahoma"/>
    </w:rPr>
  </w:style>
  <w:style w:type="paragraph" w:styleId="AnnotationText">
    <w:name w:val="Annotation Text"/>
    <w:basedOn w:val="Normal"/>
    <w:qFormat/>
    <w:pPr/>
    <w:rPr>
      <w:sz w:val="20"/>
      <w:szCs w:val="20"/>
    </w:rPr>
  </w:style>
  <w:style w:type="paragraph" w:styleId="BodyText2">
    <w:name w:val="Body Text 2"/>
    <w:basedOn w:val="Normal"/>
    <w:qFormat/>
    <w:pPr>
      <w:tabs>
        <w:tab w:val="clear" w:pos="720"/>
        <w:tab w:val="left" w:pos="0" w:leader="none"/>
      </w:tabs>
      <w:suppressAutoHyphens w:val="true"/>
      <w:ind w:firstLine="30976" w:start="-30976" w:end="0"/>
      <w:jc w:val="both"/>
    </w:pPr>
    <w:rPr>
      <w:rFonts w:ascii="Times New Roman" w:hAnsi="Times New Roman" w:eastAsia="Times New Roman" w:cs="Times New Roman"/>
      <w:sz w:val="20"/>
      <w:szCs w:val="20"/>
    </w:rPr>
  </w:style>
  <w:style w:type="paragraph" w:styleId="WW-BodyText2">
    <w:name w:val="WW-Body Text 2"/>
    <w:basedOn w:val="Normal"/>
    <w:qFormat/>
    <w:pPr>
      <w:tabs>
        <w:tab w:val="left" w:pos="0" w:leader="none"/>
        <w:tab w:val="left" w:pos="720" w:leader="none"/>
        <w:tab w:val="left" w:pos="1440" w:leader="none"/>
        <w:tab w:val="left" w:pos="2160" w:leader="none"/>
        <w:tab w:val="left" w:pos="2880" w:leader="none"/>
        <w:tab w:val="left" w:pos="3600" w:leader="none"/>
      </w:tabs>
      <w:suppressAutoHyphens w:val="true"/>
      <w:ind w:hanging="2880" w:start="2880" w:end="0"/>
      <w:jc w:val="both"/>
    </w:pPr>
    <w:rPr>
      <w:rFonts w:ascii="Times New Roman" w:hAnsi="Times New Roman" w:eastAsia="Times New Roman" w:cs="Times New Roman"/>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NNGPlan.dot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1999-02-03T13:00:00Z</dcterms:created>
  <dc:creator>Enron</dc:creator>
  <dc:description/>
  <dc:language>en-CA</dc:language>
  <cp:lastModifiedBy>Enron</cp:lastModifiedBy>
  <cp:lastPrinted>1999-01-18T11:40:00Z</cp:lastPrinted>
  <dcterms:modified xsi:type="dcterms:W3CDTF">1999-02-03T13:00:00Z</dcterms:modified>
  <cp:revision>2</cp:revision>
  <dc:subject/>
  <dc:title>UPLAND EROSION CONTROL, REVEGETATION, AND</dc:title>
</cp:coreProperties>
</file>