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NORTHERN BORDER PIPELINE COMPANY</w:t>
      </w:r>
    </w:p>
    <w:p>
      <w:pPr>
        <w:pStyle w:val="Normal"/>
        <w:jc w:val="center"/>
        <w:rPr>
          <w:b/>
          <w:bCs/>
        </w:rPr>
      </w:pPr>
      <w:r>
        <w:rPr>
          <w:b/>
          <w:bCs/>
        </w:rPr>
        <w:t>DOCKET NO. RP99-322</w:t>
      </w:r>
    </w:p>
    <w:p>
      <w:pPr>
        <w:pStyle w:val="Header"/>
        <w:tabs>
          <w:tab w:val="clear" w:pos="4320"/>
          <w:tab w:val="clear" w:pos="8640"/>
        </w:tabs>
        <w:rPr>
          <w:b/>
          <w:bCs/>
        </w:rPr>
      </w:pPr>
      <w:r>
        <w:rPr>
          <w:b/>
          <w:bCs/>
        </w:rPr>
      </w:r>
    </w:p>
    <w:p>
      <w:pPr>
        <w:pStyle w:val="Normal"/>
        <w:jc w:val="center"/>
        <w:rPr/>
      </w:pPr>
      <w:r>
        <w:rPr/>
        <w:t>Data Request Response re:  Answering Testimony of John A. Brickhill</w:t>
      </w:r>
    </w:p>
    <w:p>
      <w:pPr>
        <w:pStyle w:val="Normal"/>
        <w:jc w:val="center"/>
        <w:rPr/>
      </w:pPr>
      <w:r>
        <w:rPr/>
        <w:t>To:  Natural Gas Pipeline Company of America</w:t>
      </w:r>
    </w:p>
    <w:p>
      <w:pPr>
        <w:pStyle w:val="Normal"/>
        <w:jc w:val="center"/>
        <w:rPr/>
      </w:pPr>
      <w:r>
        <w:rPr/>
        <w:t>From:  Enron North America Corp.</w:t>
      </w:r>
    </w:p>
    <w:p>
      <w:pPr>
        <w:pStyle w:val="Normal"/>
        <w:rPr/>
      </w:pPr>
      <w:r>
        <w:rPr/>
      </w:r>
    </w:p>
    <w:p>
      <w:pPr>
        <w:pStyle w:val="Normal"/>
        <w:rPr/>
      </w:pPr>
      <w:r>
        <w:rPr/>
      </w:r>
    </w:p>
    <w:p>
      <w:pPr>
        <w:pStyle w:val="Heading1"/>
        <w:ind w:hanging="0" w:start="0"/>
        <w:rPr/>
      </w:pPr>
      <w:r>
        <w:rPr/>
        <w:t>John A. Brickhill</w:t>
      </w:r>
    </w:p>
    <w:p>
      <w:pPr>
        <w:pStyle w:val="Normal"/>
        <w:rPr/>
      </w:pPr>
      <w:r>
        <w:rPr/>
      </w:r>
    </w:p>
    <w:p>
      <w:pPr>
        <w:pStyle w:val="Normal"/>
        <w:tabs>
          <w:tab w:val="clear" w:pos="720"/>
          <w:tab w:val="left" w:pos="1440" w:leader="none"/>
        </w:tabs>
        <w:ind w:hanging="720" w:start="1440" w:end="0"/>
        <w:jc w:val="both"/>
        <w:rPr/>
      </w:pPr>
      <w:r>
        <w:rPr/>
        <w:t>1.</w:t>
        <w:tab/>
        <w:t>Is Mr. Brickhill suggesting that Northern Border’s Project 2000 should be taken into account in the determination of the rate treatment of the Chicago Project facilities?  No.  Please explain the rationale for your response on behalf of the Chicago Project Shippers Group.</w:t>
      </w:r>
    </w:p>
    <w:p>
      <w:pPr>
        <w:pStyle w:val="Normal"/>
        <w:tabs>
          <w:tab w:val="clear" w:pos="720"/>
          <w:tab w:val="left" w:pos="1440" w:leader="none"/>
        </w:tabs>
        <w:ind w:start="720" w:end="0"/>
        <w:rPr/>
      </w:pPr>
      <w:r>
        <w:rPr/>
      </w:r>
    </w:p>
    <w:p>
      <w:pPr>
        <w:pStyle w:val="Normal"/>
        <w:tabs>
          <w:tab w:val="clear" w:pos="720"/>
          <w:tab w:val="left" w:pos="1440" w:leader="none"/>
        </w:tabs>
        <w:ind w:start="1440" w:end="0"/>
        <w:rPr/>
      </w:pPr>
      <w:r>
        <w:rPr>
          <w:b/>
          <w:bCs/>
          <w:u w:val="single"/>
        </w:rPr>
        <w:t>Response</w:t>
      </w:r>
      <w:r>
        <w:rPr>
          <w:b/>
          <w:bCs/>
        </w:rPr>
        <w:t>:  Mr. John A. Brickhill will provide this response on behalf of the Chicago Project Shippers Group on behalf of the Chicago Project Shippers Group.</w:t>
      </w:r>
    </w:p>
    <w:p>
      <w:pPr>
        <w:pStyle w:val="Normal"/>
        <w:rPr>
          <w:b/>
          <w:bCs/>
        </w:rPr>
      </w:pPr>
      <w:r>
        <w:rPr>
          <w:b/>
          <w:bCs/>
        </w:rPr>
      </w:r>
    </w:p>
    <w:p>
      <w:pPr>
        <w:pStyle w:val="Normal"/>
        <w:tabs>
          <w:tab w:val="clear" w:pos="720"/>
          <w:tab w:val="left" w:pos="1440" w:leader="none"/>
        </w:tabs>
        <w:ind w:hanging="720" w:start="1440" w:end="0"/>
        <w:jc w:val="both"/>
        <w:rPr/>
      </w:pPr>
      <w:r>
        <w:rPr/>
        <w:t>2.</w:t>
        <w:tab/>
        <w:t>Is Mr. Brickhill suggesting that the project 2000 proceeding should be consolidated with Northern Border’s rate proceeding in Docket No. RP99-322?</w:t>
      </w:r>
    </w:p>
    <w:p>
      <w:pPr>
        <w:pStyle w:val="Normal"/>
        <w:ind w:hanging="720" w:start="720" w:end="0"/>
        <w:jc w:val="both"/>
        <w:rPr/>
      </w:pPr>
      <w:r>
        <w:rPr/>
      </w:r>
    </w:p>
    <w:p>
      <w:pPr>
        <w:pStyle w:val="Normal"/>
        <w:tabs>
          <w:tab w:val="clear" w:pos="720"/>
          <w:tab w:val="left" w:pos="1440" w:leader="none"/>
        </w:tabs>
        <w:ind w:hanging="720" w:start="1440" w:end="0"/>
        <w:jc w:val="both"/>
        <w:rPr/>
      </w:pPr>
      <w:r>
        <w:rPr/>
        <w:tab/>
      </w:r>
      <w:r>
        <w:rPr>
          <w:b/>
          <w:bCs/>
          <w:u w:val="single"/>
        </w:rPr>
        <w:t>Response</w:t>
      </w:r>
      <w:r>
        <w:rPr>
          <w:b/>
          <w:bCs/>
        </w:rPr>
        <w:t>:  Mr. John A. Brickhill will provide this response on behalf of the Chicago Project Shippers Group.</w:t>
      </w:r>
    </w:p>
    <w:p>
      <w:pPr>
        <w:pStyle w:val="Header"/>
        <w:tabs>
          <w:tab w:val="clear" w:pos="4320"/>
          <w:tab w:val="clear" w:pos="8640"/>
        </w:tabs>
        <w:rPr>
          <w:b/>
          <w:bCs/>
        </w:rPr>
      </w:pPr>
      <w:r>
        <w:rPr>
          <w:b/>
          <w:bCs/>
        </w:rPr>
      </w:r>
    </w:p>
    <w:p>
      <w:pPr>
        <w:pStyle w:val="Normal"/>
        <w:tabs>
          <w:tab w:val="clear" w:pos="720"/>
          <w:tab w:val="left" w:pos="1440" w:leader="none"/>
        </w:tabs>
        <w:ind w:hanging="720" w:start="1440" w:end="0"/>
        <w:jc w:val="both"/>
        <w:rPr/>
      </w:pPr>
      <w:r>
        <w:rPr/>
        <w:t>3.</w:t>
        <w:tab/>
        <w:t>Page 11.  Provide any studies, documentation or publications upon which Mr. Brickhill relies in making his assertion that there has been a “substantial rise in Alberta gas prices relative to U.S. gas prices.”  If no such studies, documentation or publications exist, please explain the basis for this assertion.</w:t>
      </w:r>
    </w:p>
    <w:p>
      <w:pPr>
        <w:pStyle w:val="Normal"/>
        <w:tabs>
          <w:tab w:val="clear" w:pos="720"/>
          <w:tab w:val="left" w:pos="1440" w:leader="none"/>
        </w:tabs>
        <w:ind w:hanging="720" w:start="144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tabs>
          <w:tab w:val="clear" w:pos="720"/>
          <w:tab w:val="left" w:pos="1440" w:leader="none"/>
        </w:tabs>
        <w:ind w:hanging="720" w:start="1440" w:end="0"/>
        <w:jc w:val="both"/>
        <w:rPr>
          <w:b/>
          <w:bCs/>
        </w:rPr>
      </w:pPr>
      <w:r>
        <w:rPr>
          <w:b/>
          <w:bCs/>
        </w:rPr>
      </w:r>
    </w:p>
    <w:p>
      <w:pPr>
        <w:pStyle w:val="Normal"/>
        <w:tabs>
          <w:tab w:val="clear" w:pos="720"/>
          <w:tab w:val="left" w:pos="1440" w:leader="none"/>
        </w:tabs>
        <w:ind w:hanging="720" w:start="1440" w:end="0"/>
        <w:jc w:val="both"/>
        <w:rPr/>
      </w:pPr>
      <w:r>
        <w:rPr/>
        <w:t>4.</w:t>
        <w:tab/>
        <w:t>Please provide the cost of supplies purchased by all the Chicago Project Shippers by month by region (Canadian, U.S., Southwest, Gulf Coast, Rocky Mountain) for the years 1998 to present.  Include all workpapers, documentation and support for this information.</w:t>
      </w:r>
    </w:p>
    <w:p>
      <w:pPr>
        <w:pStyle w:val="Normal"/>
        <w:tabs>
          <w:tab w:val="clear" w:pos="720"/>
          <w:tab w:val="left" w:pos="1440" w:leader="none"/>
        </w:tabs>
        <w:ind w:hanging="720" w:start="1440" w:end="0"/>
        <w:jc w:val="both"/>
        <w:rPr/>
      </w:pPr>
      <w:r>
        <w:rPr/>
      </w:r>
    </w:p>
    <w:p>
      <w:pPr>
        <w:pStyle w:val="Normal"/>
        <w:ind w:start="1440" w:end="0"/>
        <w:jc w:val="both"/>
        <w:rPr/>
      </w:pPr>
      <w:r>
        <w:rPr>
          <w:b/>
          <w:bCs/>
          <w:u w:val="single"/>
        </w:rPr>
        <w:t>Response</w:t>
      </w:r>
      <w:r>
        <w:rPr>
          <w:b/>
          <w:bCs/>
        </w:rPr>
        <w:t>:  Enron North America Corp. is not providing a response to this data request.  Please see objection of Chicago Project Shippers Group delivered by Doug John on 5/11/00.</w:t>
      </w:r>
    </w:p>
    <w:p>
      <w:pPr>
        <w:pStyle w:val="Normal"/>
        <w:jc w:val="both"/>
        <w:rPr>
          <w:b/>
          <w:bCs/>
        </w:rPr>
      </w:pPr>
      <w:r>
        <w:rPr>
          <w:b/>
          <w:bCs/>
        </w:rPr>
      </w:r>
    </w:p>
    <w:p>
      <w:pPr>
        <w:pStyle w:val="BodyTextIndent2"/>
        <w:jc w:val="both"/>
        <w:rPr/>
      </w:pPr>
      <w:r>
        <w:rPr/>
        <w:t>5.</w:t>
        <w:tab/>
        <w:t>Is it Mr. Brickhill’s position that if the Chicago Project extension were priced on an incremental basis, that Project 2000 could not be rolled-in to the cost of service associated with the extension facilities?  Please fully explain the rationale for your response on behalf of the Chicago Project Shippers Group.</w:t>
      </w:r>
    </w:p>
    <w:p>
      <w:pPr>
        <w:pStyle w:val="Normal"/>
        <w:ind w:start="720" w:end="0"/>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rPr>
          <w:b/>
          <w:bCs/>
        </w:rPr>
      </w:pPr>
      <w:r>
        <w:rPr>
          <w:b/>
          <w:bCs/>
        </w:rPr>
      </w:r>
    </w:p>
    <w:p>
      <w:pPr>
        <w:pStyle w:val="Normal"/>
        <w:ind w:hanging="720" w:start="1440" w:end="0"/>
        <w:jc w:val="both"/>
        <w:rPr/>
      </w:pPr>
      <w:r>
        <w:rPr/>
        <w:t>6.</w:t>
        <w:tab/>
        <w:t>Is it Mr. Brickhill’s position that if Pan-Alberta’s zone-gate methodology were employed, that Project 2000 could not be included as part of the Harper to Chicago zone?  Please fully explain the rationale for your response on behalf of the Chicago Project Shippers Group.</w:t>
      </w:r>
    </w:p>
    <w:p>
      <w:pPr>
        <w:pStyle w:val="Normal"/>
        <w:ind w:start="720" w:end="0"/>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Header"/>
        <w:tabs>
          <w:tab w:val="clear" w:pos="4320"/>
          <w:tab w:val="clear" w:pos="8640"/>
        </w:tabs>
        <w:rPr>
          <w:b/>
          <w:bCs/>
        </w:rPr>
      </w:pPr>
      <w:r>
        <w:rPr>
          <w:b/>
          <w:bCs/>
        </w:rPr>
      </w:r>
    </w:p>
    <w:p>
      <w:pPr>
        <w:pStyle w:val="BodyTextIndent2"/>
        <w:rPr/>
      </w:pPr>
      <w:r>
        <w:rPr/>
        <w:t>7.</w:t>
        <w:tab/>
        <w:t>Page 12.  Please provide all studies or analyses prepared by or for the Project 2000 shippers relating to the market for gas in Northern Indiana.</w:t>
      </w:r>
    </w:p>
    <w:p>
      <w:pPr>
        <w:pStyle w:val="Normal"/>
        <w:ind w:start="720" w:end="0"/>
        <w:rPr/>
      </w:pPr>
      <w:r>
        <w:rPr/>
      </w:r>
    </w:p>
    <w:p>
      <w:pPr>
        <w:pStyle w:val="Normal"/>
        <w:ind w:start="1440" w:end="0"/>
        <w:jc w:val="both"/>
        <w:rPr/>
      </w:pPr>
      <w:r>
        <w:rPr>
          <w:b/>
          <w:bCs/>
          <w:u w:val="single"/>
        </w:rPr>
        <w:t>Response</w:t>
      </w:r>
      <w:r>
        <w:rPr>
          <w:b/>
          <w:bCs/>
        </w:rPr>
        <w:t>:  Enron North America Corp. is not a shipper under Project 2000 and consequently prepared no such studies or analyses.</w:t>
      </w:r>
    </w:p>
    <w:p>
      <w:pPr>
        <w:pStyle w:val="Normal"/>
        <w:rPr>
          <w:b/>
          <w:bCs/>
        </w:rPr>
      </w:pPr>
      <w:r>
        <w:rPr>
          <w:b/>
          <w:bCs/>
        </w:rPr>
      </w:r>
    </w:p>
    <w:p>
      <w:pPr>
        <w:pStyle w:val="Normal"/>
        <w:ind w:hanging="720" w:start="1440" w:end="0"/>
        <w:jc w:val="both"/>
        <w:rPr/>
      </w:pPr>
      <w:r>
        <w:rPr/>
        <w:t>8.</w:t>
        <w:tab/>
        <w:t>Please explain in detail why the cost recovery of a pipeline must be a function of whether the pipeline is operated as an integrated system.</w:t>
      </w:r>
    </w:p>
    <w:p>
      <w:pPr>
        <w:pStyle w:val="Normal"/>
        <w:ind w:firstLine="360" w:start="36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jc w:val="both"/>
        <w:rPr>
          <w:b/>
          <w:bCs/>
        </w:rPr>
      </w:pPr>
      <w:r>
        <w:rPr>
          <w:b/>
          <w:bCs/>
        </w:rPr>
      </w:r>
    </w:p>
    <w:p>
      <w:pPr>
        <w:pStyle w:val="Normal"/>
        <w:ind w:hanging="720" w:start="1440" w:end="0"/>
        <w:jc w:val="both"/>
        <w:rPr/>
      </w:pPr>
      <w:r>
        <w:rPr/>
        <w:t>9.</w:t>
        <w:tab/>
        <w:t>Please explain in detail how the cost recovery method used by a pipeline impacts the physical operation of that pipeline?</w:t>
      </w:r>
    </w:p>
    <w:p>
      <w:pPr>
        <w:pStyle w:val="Normal"/>
        <w:ind w:firstLine="72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ind w:start="360" w:end="0"/>
        <w:jc w:val="both"/>
        <w:rPr>
          <w:b/>
          <w:bCs/>
        </w:rPr>
      </w:pPr>
      <w:r>
        <w:rPr>
          <w:b/>
          <w:bCs/>
        </w:rPr>
      </w:r>
    </w:p>
    <w:p>
      <w:pPr>
        <w:pStyle w:val="Normal"/>
        <w:ind w:hanging="720" w:start="1440" w:end="0"/>
        <w:jc w:val="both"/>
        <w:rPr/>
      </w:pPr>
      <w:r>
        <w:rPr/>
        <w:t>10.</w:t>
        <w:tab/>
        <w:t>Are there other pipelines which have or have had “zone gate” rate design  methodologies, but were physically integrated operationally?  If so, please explain why Northern Border is different.</w:t>
      </w:r>
    </w:p>
    <w:p>
      <w:pPr>
        <w:pStyle w:val="Normal"/>
        <w:ind w:firstLine="72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jc w:val="both"/>
        <w:rPr>
          <w:b/>
          <w:bCs/>
        </w:rPr>
      </w:pPr>
      <w:r>
        <w:rPr>
          <w:b/>
          <w:bCs/>
        </w:rPr>
      </w:r>
    </w:p>
    <w:p>
      <w:pPr>
        <w:pStyle w:val="Normal"/>
        <w:ind w:hanging="720" w:start="1440" w:end="0"/>
        <w:jc w:val="both"/>
        <w:rPr/>
      </w:pPr>
      <w:r>
        <w:rPr/>
        <w:t>11.</w:t>
        <w:tab/>
        <w:t>Please provide all documentation, studies, analyses prepared at any time by or for each of the Chicago Project shippers which examines the impact (operationally, financially, regulatory) of a change in the rolled-in treatment of the Chicago Project extension to an incremental basis.</w:t>
      </w:r>
    </w:p>
    <w:p>
      <w:pPr>
        <w:pStyle w:val="Normal"/>
        <w:ind w:start="360" w:end="0"/>
        <w:jc w:val="both"/>
        <w:rPr/>
      </w:pPr>
      <w:r>
        <w:rPr/>
      </w:r>
    </w:p>
    <w:p>
      <w:pPr>
        <w:pStyle w:val="Normal"/>
        <w:ind w:start="1440" w:end="0"/>
        <w:jc w:val="both"/>
        <w:rPr/>
      </w:pPr>
      <w:r>
        <w:rPr>
          <w:b/>
          <w:bCs/>
          <w:u w:val="single"/>
        </w:rPr>
        <w:t>Response</w:t>
      </w:r>
      <w:r>
        <w:rPr>
          <w:b/>
          <w:bCs/>
        </w:rPr>
        <w:t>:  Enron North America Corp. did not prepare any such studies or analyses.</w:t>
      </w:r>
    </w:p>
    <w:p>
      <w:pPr>
        <w:pStyle w:val="Normal"/>
        <w:jc w:val="both"/>
        <w:rPr>
          <w:b/>
          <w:bCs/>
        </w:rPr>
      </w:pPr>
      <w:r>
        <w:rPr>
          <w:b/>
          <w:bCs/>
        </w:rPr>
      </w:r>
    </w:p>
    <w:p>
      <w:pPr>
        <w:pStyle w:val="BodyTextIndent3"/>
        <w:rPr/>
      </w:pPr>
      <w:r>
        <w:rPr/>
        <w:t>12.</w:t>
        <w:tab/>
        <w:t>Would Mr. Brickhill agree that there is a subsidization of the extension by non-extension shippers?  If not, please explain the basis for this opinion.  If so, please explain how Mr. Brickhill took that subsidization into account in his analysis.  How would Mr. Brickhill balance the Commission’s policy against cross-subsidization with the subsidization of the extension by non-extension shippers?</w:t>
      </w:r>
    </w:p>
    <w:p>
      <w:pPr>
        <w:pStyle w:val="Normal"/>
        <w:ind w:firstLine="36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ind w:firstLine="360" w:end="0"/>
        <w:jc w:val="both"/>
        <w:rPr>
          <w:b/>
          <w:bCs/>
        </w:rPr>
      </w:pPr>
      <w:r>
        <w:rPr>
          <w:b/>
          <w:bCs/>
        </w:rPr>
      </w:r>
    </w:p>
    <w:p>
      <w:pPr>
        <w:pStyle w:val="Normal"/>
        <w:ind w:hanging="720" w:start="1440" w:end="0"/>
        <w:jc w:val="both"/>
        <w:rPr/>
      </w:pPr>
      <w:r>
        <w:rPr/>
        <w:t>13</w:t>
        <w:tab/>
        <w:t>Please provide all documentation, studies, analyses prepared at any time by or for each of the Chicago Project shippers which examines the impact (operationally, financially, regulatory) of Project 2000.  Include any discussion of the impact of rolled-in vs. incremental pricing.</w:t>
      </w:r>
    </w:p>
    <w:p>
      <w:pPr>
        <w:pStyle w:val="Normal"/>
        <w:ind w:firstLine="720" w:end="0"/>
        <w:jc w:val="both"/>
        <w:rPr/>
      </w:pPr>
      <w:r>
        <w:rPr/>
      </w:r>
    </w:p>
    <w:p>
      <w:pPr>
        <w:pStyle w:val="Normal"/>
        <w:ind w:start="1440" w:end="0"/>
        <w:jc w:val="both"/>
        <w:rPr/>
      </w:pPr>
      <w:r>
        <w:rPr>
          <w:b/>
          <w:bCs/>
          <w:u w:val="single"/>
        </w:rPr>
        <w:t>Response</w:t>
      </w:r>
      <w:r>
        <w:rPr>
          <w:b/>
          <w:bCs/>
        </w:rPr>
        <w:t>:  Enron North America Corp. is not a shipper under Project 2000 and consequently prepared no such studies or analyses.</w:t>
      </w:r>
    </w:p>
    <w:p>
      <w:pPr>
        <w:pStyle w:val="Normal"/>
        <w:jc w:val="both"/>
        <w:rPr>
          <w:b/>
          <w:bCs/>
        </w:rPr>
      </w:pPr>
      <w:r>
        <w:rPr>
          <w:b/>
          <w:bCs/>
        </w:rPr>
      </w:r>
    </w:p>
    <w:p>
      <w:pPr>
        <w:pStyle w:val="Normal"/>
        <w:ind w:hanging="720" w:start="1440" w:end="0"/>
        <w:jc w:val="both"/>
        <w:rPr/>
      </w:pPr>
      <w:r>
        <w:rPr/>
        <w:t>14.</w:t>
        <w:tab/>
        <w:t>Please provide a detailed breakdown of Exhibit No. CPS-11 showing how much of the change in Northern Border’s rate per 100 Dekatherm-Miles is attributable to factors such as changes in depreciation, rate of return and income taxes, O&amp;M, other taxes and interruptible transportation credits, and how much is attributable to increased volumes resulting from the Chicago Project.</w:t>
      </w:r>
    </w:p>
    <w:p>
      <w:pPr>
        <w:pStyle w:val="Normal"/>
        <w:ind w:firstLine="72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ind w:start="360" w:end="0"/>
        <w:jc w:val="both"/>
        <w:rPr>
          <w:b/>
          <w:bCs/>
        </w:rPr>
      </w:pPr>
      <w:r>
        <w:rPr>
          <w:b/>
          <w:bCs/>
        </w:rPr>
      </w:r>
    </w:p>
    <w:p>
      <w:pPr>
        <w:pStyle w:val="BodyTextIndent2"/>
        <w:jc w:val="both"/>
        <w:rPr/>
      </w:pPr>
      <w:r>
        <w:rPr/>
        <w:t>15.</w:t>
        <w:tab/>
        <w:t>Please explain why the analysis of the impacts of the Chicago Project should be based on a cost of service other than that which Northen Border proposes to collect from its customers.</w:t>
      </w:r>
    </w:p>
    <w:p>
      <w:pPr>
        <w:pStyle w:val="Normal"/>
        <w:ind w:firstLine="360" w:start="36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jc w:val="both"/>
        <w:rPr>
          <w:b/>
          <w:bCs/>
        </w:rPr>
      </w:pPr>
      <w:r>
        <w:rPr>
          <w:b/>
          <w:bCs/>
        </w:rPr>
      </w:r>
    </w:p>
    <w:p>
      <w:pPr>
        <w:pStyle w:val="BodyTextIndent3"/>
        <w:rPr/>
      </w:pPr>
      <w:r>
        <w:rPr/>
        <w:t>16.</w:t>
        <w:tab/>
        <w:t>Please explain why the impact of rolling-in the Chicago Project should be based on a methodology different than that employed by the Commission when it first considered the project (comparing rates at different points in time using different cost of service factors as Mr. Brickhill proposes vs. the Commission’s method of calculating rates at a particular point in time using the same cost of service factors with and without the proposed facilities and volumes).</w:t>
      </w:r>
    </w:p>
    <w:p>
      <w:pPr>
        <w:pStyle w:val="Normal"/>
        <w:ind w:firstLine="360" w:start="360" w:end="0"/>
        <w:rPr/>
      </w:pPr>
      <w:r>
        <w:rPr/>
      </w:r>
    </w:p>
    <w:p>
      <w:pPr>
        <w:pStyle w:val="Normal"/>
        <w:ind w:start="1440" w:end="0"/>
        <w:rPr/>
      </w:pPr>
      <w:r>
        <w:rPr>
          <w:b/>
          <w:bCs/>
          <w:u w:val="single"/>
        </w:rPr>
        <w:t>Response</w:t>
      </w:r>
      <w:r>
        <w:rPr>
          <w:b/>
          <w:bCs/>
        </w:rPr>
        <w:t>:  Mr. John A. Brickhill will provide this response on behalf of the Chicago Project Shippers Group.</w:t>
      </w:r>
    </w:p>
    <w:p>
      <w:pPr>
        <w:pStyle w:val="Normal"/>
        <w:rPr>
          <w:b/>
          <w:bCs/>
        </w:rPr>
      </w:pPr>
      <w:r>
        <w:rPr>
          <w:b/>
          <w:bCs/>
        </w:rPr>
      </w:r>
    </w:p>
    <w:p>
      <w:pPr>
        <w:pStyle w:val="Normal"/>
        <w:ind w:hanging="720" w:start="1440" w:end="0"/>
        <w:jc w:val="both"/>
        <w:rPr/>
      </w:pPr>
      <w:r>
        <w:rPr/>
        <w:t>17.</w:t>
        <w:tab/>
        <w:t>Please provide all workpapers and supporting documentation underlying work-paper No. 4.</w:t>
      </w:r>
    </w:p>
    <w:p>
      <w:pPr>
        <w:pStyle w:val="Normal"/>
        <w:ind w:firstLine="360" w:start="360" w:end="0"/>
        <w:jc w:val="both"/>
        <w:rPr/>
      </w:pPr>
      <w:r>
        <w:rPr/>
      </w:r>
    </w:p>
    <w:p>
      <w:pPr>
        <w:pStyle w:val="Normal"/>
        <w:ind w:start="1440" w:end="0"/>
        <w:jc w:val="both"/>
        <w:rPr/>
      </w:pPr>
      <w:r>
        <w:rPr>
          <w:b/>
          <w:bCs/>
          <w:u w:val="single"/>
        </w:rPr>
        <w:t>Response</w:t>
      </w:r>
      <w:r>
        <w:rPr>
          <w:b/>
          <w:bCs/>
        </w:rPr>
        <w:t>:  Mr. John A. Brickhill will provide this response on behalf of the Chicago Project Shippers Group.</w:t>
      </w:r>
    </w:p>
    <w:p>
      <w:pPr>
        <w:pStyle w:val="Normal"/>
        <w:jc w:val="both"/>
        <w:rPr>
          <w:b/>
          <w:bCs/>
        </w:rPr>
      </w:pPr>
      <w:r>
        <w:rPr>
          <w:b/>
          <w:bCs/>
        </w:rPr>
      </w:r>
    </w:p>
    <w:p>
      <w:pPr>
        <w:pStyle w:val="Normal"/>
        <w:ind w:hanging="720" w:start="1440" w:end="0"/>
        <w:jc w:val="both"/>
        <w:rPr/>
      </w:pPr>
      <w:r>
        <w:rPr/>
        <w:t>18.</w:t>
        <w:tab/>
        <w:t>Page 26.  Please provide a comparable schedule showing the impact on Northern Border’s rates of only the extension facilities.</w:t>
      </w:r>
    </w:p>
    <w:p>
      <w:pPr>
        <w:pStyle w:val="Normal"/>
        <w:ind w:firstLine="360" w:end="0"/>
        <w:jc w:val="both"/>
        <w:rPr/>
      </w:pPr>
      <w:r>
        <w:rPr/>
      </w:r>
    </w:p>
    <w:p>
      <w:pPr>
        <w:pStyle w:val="Heading2"/>
        <w:ind w:hanging="0" w:start="1440" w:end="0"/>
        <w:rPr/>
      </w:pPr>
      <w:r>
        <w:rPr>
          <w:u w:val="single"/>
        </w:rPr>
        <w:t>Response</w:t>
      </w:r>
      <w:r>
        <w:rPr/>
        <w:t>:  Mr. John A. Brickhill will provide this response on behalf of the Chicago Project Shippers Group.</w:t>
      </w:r>
    </w:p>
    <w:p>
      <w:pPr>
        <w:pStyle w:val="Normal"/>
        <w:jc w:val="both"/>
        <w:rPr/>
      </w:pPr>
      <w:r>
        <w:rPr/>
      </w:r>
    </w:p>
    <w:p>
      <w:pPr>
        <w:pStyle w:val="Normal"/>
        <w:ind w:hanging="720" w:start="1440" w:end="0"/>
        <w:jc w:val="both"/>
        <w:rPr/>
      </w:pPr>
      <w:r>
        <w:rPr/>
        <w:t>19.</w:t>
        <w:tab/>
        <w:t>Page 29.  Please provide the level of the “rate reduction for existing shippers” due to project 2000.  Provide all workpapers, documentation and analyses underlying this calculation.</w:t>
      </w:r>
    </w:p>
    <w:p>
      <w:pPr>
        <w:pStyle w:val="Normal"/>
        <w:ind w:firstLine="720" w:end="0"/>
        <w:jc w:val="both"/>
        <w:rPr/>
      </w:pPr>
      <w:r>
        <w:rPr/>
      </w:r>
    </w:p>
    <w:p>
      <w:pPr>
        <w:pStyle w:val="Heading2"/>
        <w:ind w:hanging="0" w:start="1440" w:end="0"/>
        <w:rPr/>
      </w:pPr>
      <w:r>
        <w:rPr>
          <w:u w:val="single"/>
        </w:rPr>
        <w:t>Response</w:t>
      </w:r>
      <w:r>
        <w:rPr/>
        <w:t>:  Mr. John A. Brickhill will provide this response on behalf of the Chicago Project Shippers Group.</w:t>
      </w:r>
    </w:p>
    <w:p>
      <w:pPr>
        <w:pStyle w:val="Normal"/>
        <w:jc w:val="both"/>
        <w:rPr/>
      </w:pPr>
      <w:r>
        <w:rPr/>
      </w:r>
    </w:p>
    <w:p>
      <w:pPr>
        <w:pStyle w:val="Normal"/>
        <w:ind w:hanging="720" w:start="1440" w:end="0"/>
        <w:jc w:val="both"/>
        <w:rPr/>
      </w:pPr>
      <w:r>
        <w:rPr/>
        <w:t>20.</w:t>
        <w:tab/>
        <w:t>Page 30.  Please provide rates using Mr. Doering’s proposal that Mr. Brickhill believes would be reasonable.  Provide all workpapers, documentation and analyses underlying this calculation.</w:t>
      </w:r>
    </w:p>
    <w:p>
      <w:pPr>
        <w:pStyle w:val="Normal"/>
        <w:ind w:firstLine="720" w:end="0"/>
        <w:jc w:val="both"/>
        <w:rPr/>
      </w:pPr>
      <w:r>
        <w:rPr/>
      </w:r>
    </w:p>
    <w:p>
      <w:pPr>
        <w:pStyle w:val="Heading2"/>
        <w:ind w:hanging="0" w:start="1440" w:end="0"/>
        <w:rPr/>
      </w:pPr>
      <w:r>
        <w:rPr>
          <w:u w:val="single"/>
        </w:rPr>
        <w:t>Response</w:t>
      </w:r>
      <w:r>
        <w:rPr/>
        <w:t>:  Mr. John A. Brickhill will provide this response on behalf of the Chicago Project Shippers Group.</w:t>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/mnt/main-storage/datasets/enron-docs/doc/Northern_Border_Pipeline_Natural_Gas_Pipeline_Response1.doc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Data Request to Northern Border Pipeline Company</w:t>
    </w:r>
  </w:p>
  <w:p>
    <w:pPr>
      <w:pStyle w:val="Header"/>
      <w:rPr/>
    </w:pPr>
    <w:r>
      <w:rPr/>
      <w:t>Testimony of John A. Brickhill</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firstLine="720" w:start="720" w:end="0"/>
      <w:jc w:val="both"/>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ind w:hanging="72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2000-05-18T13:32:00Z</dcterms:created>
  <dc:creator>protmp5</dc:creator>
  <dc:description/>
  <dc:language>en-CA</dc:language>
  <cp:lastModifiedBy>gnemec</cp:lastModifiedBy>
  <cp:lastPrinted>2000-05-17T08:52:00Z</cp:lastPrinted>
  <dcterms:modified xsi:type="dcterms:W3CDTF">2000-05-18T13:41:00Z</dcterms:modified>
  <cp:revision>4</cp:revision>
  <dc:subject/>
  <dc:title>NORTHERN BORDER PIPELINE COMPANY</dc:title>
</cp:coreProperties>
</file>