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Nord Pool Overview</w:t>
      </w:r>
    </w:p>
    <w:p>
      <w:pPr>
        <w:pStyle w:val="Normal"/>
        <w:autoSpaceDE w:val="false"/>
        <w:rPr>
          <w:b/>
          <w:bCs/>
          <w:i/>
          <w:i/>
          <w:iCs/>
        </w:rPr>
      </w:pPr>
      <w:r>
        <w:rPr>
          <w:b/>
          <w:bCs/>
          <w:i/>
          <w:iCs/>
        </w:rPr>
      </w:r>
    </w:p>
    <w:p>
      <w:pPr>
        <w:pStyle w:val="Normal"/>
        <w:autoSpaceDE w:val="false"/>
        <w:rPr>
          <w:b/>
          <w:bCs/>
          <w:i/>
          <w:i/>
          <w:iCs/>
        </w:rPr>
      </w:pPr>
      <w:r>
        <w:rPr>
          <w:b/>
          <w:bCs/>
          <w:i/>
          <w:iCs/>
        </w:rPr>
        <w:t>Role of the Regulator</w:t>
      </w:r>
    </w:p>
    <w:p>
      <w:pPr>
        <w:pStyle w:val="Normal"/>
        <w:autoSpaceDE w:val="false"/>
        <w:rPr>
          <w:sz w:val="25"/>
          <w:szCs w:val="25"/>
        </w:rPr>
      </w:pPr>
      <w:r>
        <w:rPr>
          <w:sz w:val="25"/>
          <w:szCs w:val="25"/>
        </w:rPr>
        <w:t>The primary duty of the Norwegian regulator, NVE, is to supervise the monopoly</w:t>
      </w:r>
    </w:p>
    <w:p>
      <w:pPr>
        <w:pStyle w:val="Normal"/>
        <w:autoSpaceDE w:val="false"/>
        <w:rPr>
          <w:sz w:val="25"/>
          <w:szCs w:val="25"/>
        </w:rPr>
      </w:pPr>
      <w:r>
        <w:rPr>
          <w:sz w:val="25"/>
          <w:szCs w:val="25"/>
        </w:rPr>
        <w:t>activities of transmission and distribution. NVE also has a duty to promote</w:t>
      </w:r>
    </w:p>
    <w:p>
      <w:pPr>
        <w:pStyle w:val="Normal"/>
        <w:autoSpaceDE w:val="false"/>
        <w:rPr>
          <w:sz w:val="25"/>
          <w:szCs w:val="25"/>
        </w:rPr>
      </w:pPr>
      <w:r>
        <w:rPr>
          <w:sz w:val="25"/>
          <w:szCs w:val="25"/>
        </w:rPr>
        <w:t>competition in generation and supply, and can intervene to prevent abuses of market</w:t>
      </w:r>
    </w:p>
    <w:p>
      <w:pPr>
        <w:pStyle w:val="Normal"/>
        <w:autoSpaceDE w:val="false"/>
        <w:rPr>
          <w:sz w:val="25"/>
          <w:szCs w:val="25"/>
        </w:rPr>
      </w:pPr>
      <w:r>
        <w:rPr>
          <w:sz w:val="25"/>
          <w:szCs w:val="25"/>
        </w:rPr>
        <w:t>power. In Sweden, NUTEK performed a similar regulatory role but in 1998 a new</w:t>
      </w:r>
    </w:p>
    <w:p>
      <w:pPr>
        <w:pStyle w:val="Normal"/>
        <w:autoSpaceDE w:val="false"/>
        <w:rPr>
          <w:sz w:val="25"/>
          <w:szCs w:val="25"/>
        </w:rPr>
      </w:pPr>
      <w:r>
        <w:rPr>
          <w:sz w:val="25"/>
          <w:szCs w:val="25"/>
        </w:rPr>
        <w:t>Energy Authority was established to take its place.</w:t>
      </w:r>
    </w:p>
    <w:p>
      <w:pPr>
        <w:pStyle w:val="Normal"/>
        <w:autoSpaceDE w:val="false"/>
        <w:rPr>
          <w:sz w:val="25"/>
          <w:szCs w:val="25"/>
        </w:rPr>
      </w:pPr>
      <w:r>
        <w:rPr>
          <w:sz w:val="25"/>
          <w:szCs w:val="25"/>
        </w:rPr>
      </w:r>
    </w:p>
    <w:p>
      <w:pPr>
        <w:pStyle w:val="Heading1"/>
        <w:ind w:hanging="0" w:start="0"/>
        <w:rPr/>
      </w:pPr>
      <w:r>
        <w:rPr/>
        <w:t>Wholesale Operations</w:t>
      </w:r>
    </w:p>
    <w:p>
      <w:pPr>
        <w:pStyle w:val="Normal"/>
        <w:autoSpaceDE w:val="false"/>
        <w:rPr>
          <w:sz w:val="25"/>
          <w:szCs w:val="25"/>
        </w:rPr>
      </w:pPr>
      <w:r>
        <w:rPr>
          <w:sz w:val="25"/>
          <w:szCs w:val="25"/>
        </w:rPr>
        <w:t>System operation in Norway and Sweden is undertaken by the respective owners of</w:t>
      </w:r>
    </w:p>
    <w:p>
      <w:pPr>
        <w:pStyle w:val="Normal"/>
        <w:autoSpaceDE w:val="false"/>
        <w:rPr>
          <w:sz w:val="25"/>
          <w:szCs w:val="25"/>
        </w:rPr>
      </w:pPr>
      <w:r>
        <w:rPr>
          <w:sz w:val="25"/>
          <w:szCs w:val="25"/>
        </w:rPr>
        <w:t>the national transmission networks, Statnett and Svenska Kraftnät. Both these</w:t>
      </w:r>
    </w:p>
    <w:p>
      <w:pPr>
        <w:pStyle w:val="Normal"/>
        <w:autoSpaceDE w:val="false"/>
        <w:rPr>
          <w:sz w:val="25"/>
          <w:szCs w:val="25"/>
        </w:rPr>
      </w:pPr>
      <w:r>
        <w:rPr>
          <w:sz w:val="25"/>
          <w:szCs w:val="25"/>
        </w:rPr>
        <w:t>companies were created through the removal of transmission assets from state-owned</w:t>
      </w:r>
    </w:p>
    <w:p>
      <w:pPr>
        <w:pStyle w:val="Normal"/>
        <w:autoSpaceDE w:val="false"/>
        <w:rPr>
          <w:sz w:val="25"/>
          <w:szCs w:val="25"/>
        </w:rPr>
      </w:pPr>
      <w:r>
        <w:rPr>
          <w:sz w:val="25"/>
          <w:szCs w:val="25"/>
        </w:rPr>
        <w:t>generating utilities, Statkraft in Norway and Vattenfall in Sweden.</w:t>
      </w:r>
    </w:p>
    <w:p>
      <w:pPr>
        <w:pStyle w:val="Normal"/>
        <w:autoSpaceDE w:val="false"/>
        <w:rPr>
          <w:sz w:val="25"/>
          <w:szCs w:val="25"/>
        </w:rPr>
      </w:pPr>
      <w:r>
        <w:rPr>
          <w:sz w:val="25"/>
          <w:szCs w:val="25"/>
        </w:rPr>
      </w:r>
    </w:p>
    <w:p>
      <w:pPr>
        <w:pStyle w:val="Normal"/>
        <w:autoSpaceDE w:val="false"/>
        <w:rPr>
          <w:sz w:val="25"/>
          <w:szCs w:val="25"/>
        </w:rPr>
      </w:pPr>
      <w:r>
        <w:rPr>
          <w:sz w:val="25"/>
          <w:szCs w:val="25"/>
        </w:rPr>
        <w:t>The wholesale market operator, Nord Pool, is jointly owned (50:50) by the</w:t>
      </w:r>
    </w:p>
    <w:p>
      <w:pPr>
        <w:pStyle w:val="Normal"/>
        <w:autoSpaceDE w:val="false"/>
        <w:rPr>
          <w:sz w:val="25"/>
          <w:szCs w:val="25"/>
        </w:rPr>
      </w:pPr>
      <w:r>
        <w:rPr>
          <w:sz w:val="25"/>
          <w:szCs w:val="25"/>
        </w:rPr>
        <w:t>Norwegian and Swedish grid companies. Pool trading is not mandatory and most</w:t>
      </w:r>
    </w:p>
    <w:p>
      <w:pPr>
        <w:pStyle w:val="Normal"/>
        <w:autoSpaceDE w:val="false"/>
        <w:rPr>
          <w:sz w:val="25"/>
          <w:szCs w:val="25"/>
        </w:rPr>
      </w:pPr>
      <w:r>
        <w:rPr>
          <w:sz w:val="25"/>
          <w:szCs w:val="25"/>
        </w:rPr>
        <w:t>electricity is traded outside the pool through bilateral contracts between market</w:t>
      </w:r>
    </w:p>
    <w:p>
      <w:pPr>
        <w:pStyle w:val="Normal"/>
        <w:autoSpaceDE w:val="false"/>
        <w:rPr>
          <w:sz w:val="25"/>
          <w:szCs w:val="25"/>
        </w:rPr>
      </w:pPr>
      <w:r>
        <w:rPr>
          <w:sz w:val="25"/>
          <w:szCs w:val="25"/>
        </w:rPr>
        <w:t xml:space="preserve">participants. </w:t>
      </w:r>
    </w:p>
    <w:p>
      <w:pPr>
        <w:pStyle w:val="Normal"/>
        <w:autoSpaceDE w:val="false"/>
        <w:rPr>
          <w:sz w:val="25"/>
          <w:szCs w:val="25"/>
        </w:rPr>
      </w:pPr>
      <w:r>
        <w:rPr>
          <w:sz w:val="25"/>
          <w:szCs w:val="25"/>
        </w:rPr>
      </w:r>
    </w:p>
    <w:p>
      <w:pPr>
        <w:pStyle w:val="Heading1"/>
        <w:ind w:hanging="0" w:start="0"/>
        <w:rPr/>
      </w:pPr>
      <w:r>
        <w:rPr/>
        <w:t>Membership and Governance</w:t>
      </w:r>
    </w:p>
    <w:p>
      <w:pPr>
        <w:pStyle w:val="Normal"/>
        <w:autoSpaceDE w:val="false"/>
        <w:rPr>
          <w:sz w:val="25"/>
          <w:szCs w:val="25"/>
        </w:rPr>
      </w:pPr>
      <w:r>
        <w:rPr>
          <w:sz w:val="25"/>
          <w:szCs w:val="25"/>
        </w:rPr>
        <w:t>Any company wishing to trade in Nord Pool must first become a</w:t>
      </w:r>
    </w:p>
    <w:p>
      <w:pPr>
        <w:pStyle w:val="Normal"/>
        <w:autoSpaceDE w:val="false"/>
        <w:rPr>
          <w:sz w:val="25"/>
          <w:szCs w:val="25"/>
        </w:rPr>
      </w:pPr>
      <w:r>
        <w:rPr>
          <w:sz w:val="25"/>
          <w:szCs w:val="25"/>
        </w:rPr>
        <w:t>member. Membership is open to generators, distributors, suppliers, industrial</w:t>
      </w:r>
    </w:p>
    <w:p>
      <w:pPr>
        <w:pStyle w:val="Normal"/>
        <w:rPr>
          <w:sz w:val="25"/>
          <w:szCs w:val="25"/>
        </w:rPr>
      </w:pPr>
      <w:r>
        <w:rPr>
          <w:sz w:val="25"/>
          <w:szCs w:val="25"/>
        </w:rPr>
        <w:t>customers, traders and brokers. Although the great majority of members</w:t>
      </w:r>
    </w:p>
    <w:p>
      <w:pPr>
        <w:pStyle w:val="Normal"/>
        <w:autoSpaceDE w:val="false"/>
        <w:rPr>
          <w:sz w:val="25"/>
          <w:szCs w:val="25"/>
        </w:rPr>
      </w:pPr>
      <w:r>
        <w:rPr>
          <w:sz w:val="25"/>
          <w:szCs w:val="25"/>
        </w:rPr>
        <w:t>are Norwegian or Swedish, there are also participants from Finland, Denmark and</w:t>
      </w:r>
    </w:p>
    <w:p>
      <w:pPr>
        <w:pStyle w:val="Normal"/>
        <w:autoSpaceDE w:val="false"/>
        <w:rPr>
          <w:sz w:val="25"/>
          <w:szCs w:val="25"/>
        </w:rPr>
      </w:pPr>
      <w:r>
        <w:rPr>
          <w:sz w:val="25"/>
          <w:szCs w:val="25"/>
        </w:rPr>
        <w:t>the UK.</w:t>
      </w:r>
    </w:p>
    <w:p>
      <w:pPr>
        <w:pStyle w:val="Normal"/>
        <w:autoSpaceDE w:val="false"/>
        <w:rPr>
          <w:sz w:val="25"/>
          <w:szCs w:val="25"/>
        </w:rPr>
      </w:pPr>
      <w:r>
        <w:rPr>
          <w:sz w:val="25"/>
          <w:szCs w:val="25"/>
        </w:rPr>
      </w:r>
    </w:p>
    <w:p>
      <w:pPr>
        <w:pStyle w:val="Normal"/>
        <w:autoSpaceDE w:val="false"/>
        <w:rPr>
          <w:sz w:val="25"/>
          <w:szCs w:val="25"/>
        </w:rPr>
      </w:pPr>
      <w:r>
        <w:rPr>
          <w:sz w:val="25"/>
          <w:szCs w:val="25"/>
        </w:rPr>
        <w:t>Development of the Nord Pool is decided by Nord Pool’s board of directors.</w:t>
      </w:r>
    </w:p>
    <w:p>
      <w:pPr>
        <w:pStyle w:val="Normal"/>
        <w:autoSpaceDE w:val="false"/>
        <w:rPr>
          <w:sz w:val="25"/>
          <w:szCs w:val="25"/>
        </w:rPr>
      </w:pPr>
      <w:r>
        <w:rPr>
          <w:sz w:val="25"/>
          <w:szCs w:val="25"/>
        </w:rPr>
        <w:t>An unweighted majority voting system is adopted in considering changes to the</w:t>
      </w:r>
    </w:p>
    <w:p>
      <w:pPr>
        <w:pStyle w:val="Normal"/>
        <w:autoSpaceDE w:val="false"/>
        <w:rPr>
          <w:sz w:val="25"/>
          <w:szCs w:val="25"/>
        </w:rPr>
      </w:pPr>
      <w:r>
        <w:rPr>
          <w:sz w:val="25"/>
          <w:szCs w:val="25"/>
        </w:rPr>
        <w:t>trading rules. Pool members do not have voting rights, though they can influence</w:t>
      </w:r>
    </w:p>
    <w:p>
      <w:pPr>
        <w:pStyle w:val="Normal"/>
        <w:autoSpaceDE w:val="false"/>
        <w:rPr>
          <w:sz w:val="25"/>
          <w:szCs w:val="25"/>
        </w:rPr>
      </w:pPr>
      <w:r>
        <w:rPr>
          <w:sz w:val="25"/>
          <w:szCs w:val="25"/>
        </w:rPr>
        <w:t>decisions through a market advisory board, the president of which also sits on the</w:t>
      </w:r>
    </w:p>
    <w:p>
      <w:pPr>
        <w:pStyle w:val="Normal"/>
        <w:autoSpaceDE w:val="false"/>
        <w:rPr>
          <w:sz w:val="25"/>
          <w:szCs w:val="25"/>
        </w:rPr>
      </w:pPr>
      <w:r>
        <w:rPr>
          <w:sz w:val="25"/>
          <w:szCs w:val="25"/>
        </w:rPr>
        <w:t>main Nord Pool board. The advisory board in turn receives recommendations from</w:t>
      </w:r>
    </w:p>
    <w:p>
      <w:pPr>
        <w:pStyle w:val="Normal"/>
        <w:autoSpaceDE w:val="false"/>
        <w:rPr>
          <w:sz w:val="25"/>
          <w:szCs w:val="25"/>
        </w:rPr>
      </w:pPr>
      <w:r>
        <w:rPr>
          <w:sz w:val="25"/>
          <w:szCs w:val="25"/>
        </w:rPr>
        <w:t>two product development sub-groups, each comprising 10 actively trading members.</w:t>
      </w:r>
    </w:p>
    <w:p>
      <w:pPr>
        <w:pStyle w:val="Normal"/>
        <w:autoSpaceDE w:val="false"/>
        <w:rPr>
          <w:sz w:val="25"/>
          <w:szCs w:val="25"/>
        </w:rPr>
      </w:pPr>
      <w:r>
        <w:rPr>
          <w:sz w:val="25"/>
          <w:szCs w:val="25"/>
        </w:rPr>
        <w:t>The advisory board and sub-groups are elected by pool members. Some companies</w:t>
      </w:r>
    </w:p>
    <w:p>
      <w:pPr>
        <w:pStyle w:val="Normal"/>
        <w:autoSpaceDE w:val="false"/>
        <w:rPr>
          <w:sz w:val="25"/>
          <w:szCs w:val="25"/>
        </w:rPr>
      </w:pPr>
      <w:r>
        <w:rPr>
          <w:sz w:val="25"/>
          <w:szCs w:val="25"/>
        </w:rPr>
        <w:t>have argued that members should have an ownership stake in Nord Pool but both the</w:t>
      </w:r>
    </w:p>
    <w:p>
      <w:pPr>
        <w:pStyle w:val="Normal"/>
        <w:autoSpaceDE w:val="false"/>
        <w:rPr>
          <w:sz w:val="25"/>
          <w:szCs w:val="25"/>
        </w:rPr>
      </w:pPr>
      <w:r>
        <w:rPr>
          <w:sz w:val="25"/>
          <w:szCs w:val="25"/>
        </w:rPr>
        <w:t>Norwegian and Swedish governments have expressed their preference for an</w:t>
      </w:r>
    </w:p>
    <w:p>
      <w:pPr>
        <w:pStyle w:val="Normal"/>
        <w:autoSpaceDE w:val="false"/>
        <w:rPr>
          <w:sz w:val="25"/>
          <w:szCs w:val="25"/>
        </w:rPr>
      </w:pPr>
      <w:r>
        <w:rPr>
          <w:sz w:val="25"/>
          <w:szCs w:val="25"/>
        </w:rPr>
        <w:t>independently-owned trading body. There is no direct consumer representation in</w:t>
      </w:r>
    </w:p>
    <w:p>
      <w:pPr>
        <w:pStyle w:val="Normal"/>
        <w:rPr>
          <w:sz w:val="25"/>
          <w:szCs w:val="25"/>
        </w:rPr>
      </w:pPr>
      <w:r>
        <w:rPr>
          <w:sz w:val="25"/>
          <w:szCs w:val="25"/>
        </w:rPr>
        <w:t>Nord Pool.</w:t>
      </w:r>
    </w:p>
    <w:p>
      <w:pPr>
        <w:pStyle w:val="Normal"/>
        <w:autoSpaceDE w:val="false"/>
        <w:rPr>
          <w:sz w:val="25"/>
          <w:szCs w:val="25"/>
        </w:rPr>
      </w:pPr>
      <w:r>
        <w:rPr>
          <w:sz w:val="25"/>
          <w:szCs w:val="25"/>
        </w:rPr>
      </w:r>
    </w:p>
    <w:p>
      <w:pPr>
        <w:pStyle w:val="Heading1"/>
        <w:ind w:hanging="0" w:start="0"/>
        <w:rPr/>
      </w:pPr>
      <w:r>
        <w:rPr/>
        <w:t>Energy Market Operations</w:t>
      </w:r>
    </w:p>
    <w:p>
      <w:pPr>
        <w:pStyle w:val="Normal"/>
        <w:autoSpaceDE w:val="false"/>
        <w:rPr>
          <w:sz w:val="25"/>
          <w:szCs w:val="25"/>
        </w:rPr>
      </w:pPr>
      <w:r>
        <w:rPr>
          <w:sz w:val="25"/>
          <w:szCs w:val="25"/>
        </w:rPr>
        <w:t>Nord Pool operates a day-ahead spot market (Elspot), a forwards market and a</w:t>
      </w:r>
    </w:p>
    <w:p>
      <w:pPr>
        <w:pStyle w:val="Normal"/>
        <w:autoSpaceDE w:val="false"/>
        <w:rPr>
          <w:sz w:val="25"/>
          <w:szCs w:val="25"/>
        </w:rPr>
      </w:pPr>
      <w:r>
        <w:rPr>
          <w:sz w:val="25"/>
          <w:szCs w:val="25"/>
        </w:rPr>
        <w:t>futures market (Eltermin). Participation in these markets is optional, and significant trading occurs via bilateral contacts.</w:t>
      </w:r>
    </w:p>
    <w:p>
      <w:pPr>
        <w:pStyle w:val="Normal"/>
        <w:autoSpaceDE w:val="false"/>
        <w:rPr>
          <w:sz w:val="25"/>
          <w:szCs w:val="25"/>
        </w:rPr>
      </w:pPr>
      <w:r>
        <w:rPr>
          <w:sz w:val="25"/>
          <w:szCs w:val="25"/>
        </w:rPr>
      </w:r>
    </w:p>
    <w:p>
      <w:pPr>
        <w:pStyle w:val="Normal"/>
        <w:autoSpaceDE w:val="false"/>
        <w:rPr>
          <w:sz w:val="25"/>
          <w:szCs w:val="25"/>
        </w:rPr>
      </w:pPr>
      <w:r>
        <w:rPr>
          <w:sz w:val="25"/>
          <w:szCs w:val="25"/>
        </w:rPr>
        <w:t>Having accounted for any obligations under physical bilateral contracts, spot</w:t>
      </w:r>
    </w:p>
    <w:p>
      <w:pPr>
        <w:pStyle w:val="Normal"/>
        <w:autoSpaceDE w:val="false"/>
        <w:rPr>
          <w:sz w:val="25"/>
          <w:szCs w:val="25"/>
        </w:rPr>
      </w:pPr>
      <w:r>
        <w:rPr>
          <w:sz w:val="25"/>
          <w:szCs w:val="25"/>
        </w:rPr>
        <w:t>market participants submit generation offers and demand bids in the form of a</w:t>
      </w:r>
    </w:p>
    <w:p>
      <w:pPr>
        <w:pStyle w:val="Normal"/>
        <w:autoSpaceDE w:val="false"/>
        <w:rPr>
          <w:sz w:val="25"/>
          <w:szCs w:val="25"/>
        </w:rPr>
      </w:pPr>
      <w:r>
        <w:rPr>
          <w:sz w:val="25"/>
          <w:szCs w:val="25"/>
        </w:rPr>
        <w:t xml:space="preserve">price/volume curve for each hour of the following day. </w:t>
      </w:r>
    </w:p>
    <w:p>
      <w:pPr>
        <w:pStyle w:val="Normal"/>
        <w:autoSpaceDE w:val="false"/>
        <w:rPr>
          <w:sz w:val="25"/>
          <w:szCs w:val="25"/>
        </w:rPr>
      </w:pPr>
      <w:r>
        <w:rPr>
          <w:sz w:val="25"/>
          <w:szCs w:val="25"/>
        </w:rPr>
      </w:r>
    </w:p>
    <w:p>
      <w:pPr>
        <w:pStyle w:val="Normal"/>
        <w:autoSpaceDE w:val="false"/>
        <w:rPr>
          <w:sz w:val="25"/>
          <w:szCs w:val="25"/>
        </w:rPr>
      </w:pPr>
      <w:r>
        <w:rPr>
          <w:sz w:val="25"/>
          <w:szCs w:val="25"/>
        </w:rPr>
      </w:r>
    </w:p>
    <w:p>
      <w:pPr>
        <w:pStyle w:val="Normal"/>
        <w:autoSpaceDE w:val="false"/>
        <w:rPr>
          <w:sz w:val="25"/>
          <w:szCs w:val="25"/>
        </w:rPr>
      </w:pPr>
      <w:r>
        <w:rPr>
          <w:sz w:val="25"/>
          <w:szCs w:val="25"/>
        </w:rPr>
      </w:r>
    </w:p>
    <w:p>
      <w:pPr>
        <w:pStyle w:val="Normal"/>
        <w:autoSpaceDE w:val="false"/>
        <w:rPr>
          <w:sz w:val="25"/>
          <w:szCs w:val="25"/>
        </w:rPr>
      </w:pPr>
      <w:r>
        <w:rPr>
          <w:sz w:val="25"/>
          <w:szCs w:val="25"/>
        </w:rPr>
      </w:r>
    </w:p>
    <w:p>
      <w:pPr>
        <w:pStyle w:val="Normal"/>
        <w:autoSpaceDE w:val="false"/>
        <w:rPr>
          <w:sz w:val="25"/>
          <w:szCs w:val="25"/>
        </w:rPr>
      </w:pPr>
      <w:r>
        <w:rPr>
          <w:sz w:val="25"/>
          <w:szCs w:val="25"/>
        </w:rPr>
        <w:t xml:space="preserve">The spot market is based on a system of simple price and volume curves submitted by both generators and purchasers. This market is cleared hourly without reference to technical or operational plant constraints. If transmission constraints exist, the market is broken into regions. All interested parties have access to spot market prices and total traded volumes. However, participant’s bids and offers, and their individual traded volumes, are not made available. </w:t>
      </w:r>
    </w:p>
    <w:p>
      <w:pPr>
        <w:pStyle w:val="Normal"/>
        <w:autoSpaceDE w:val="false"/>
        <w:rPr>
          <w:sz w:val="25"/>
          <w:szCs w:val="25"/>
        </w:rPr>
      </w:pPr>
      <w:r>
        <w:rPr>
          <w:sz w:val="25"/>
          <w:szCs w:val="25"/>
        </w:rPr>
      </w:r>
    </w:p>
    <w:p>
      <w:pPr>
        <w:pStyle w:val="Normal"/>
        <w:autoSpaceDE w:val="false"/>
        <w:rPr>
          <w:sz w:val="25"/>
          <w:szCs w:val="25"/>
        </w:rPr>
      </w:pPr>
      <w:r>
        <w:rPr>
          <w:sz w:val="25"/>
          <w:szCs w:val="25"/>
        </w:rPr>
        <w:t>Nord Pool sets hourly ex-ante prices at the intersection of the aggregate supply and demand curves. By 13:30 on the day-ahead, Nord Pool informs each participant of its generation or purchase commitments in the spot market and allows participants 30 minutes to check that their net trading position is in accordance with their bids and offers. Once confirmed, accepted bid and offer quantities become firm contracts for physical delivery. Participants have no opportunity to revise their bids and/or offers. By 19:00 on the day-ahead, all industry players must inform the relevant system operator of their intended generation or offtake profiles, including both spot market and bilateral contract commitments.</w:t>
      </w:r>
    </w:p>
    <w:p>
      <w:pPr>
        <w:pStyle w:val="Normal"/>
        <w:rPr>
          <w:sz w:val="25"/>
          <w:szCs w:val="25"/>
        </w:rPr>
      </w:pPr>
      <w:r>
        <w:rPr>
          <w:sz w:val="25"/>
          <w:szCs w:val="25"/>
        </w:rPr>
      </w:r>
    </w:p>
    <w:p>
      <w:pPr>
        <w:pStyle w:val="Normal"/>
        <w:autoSpaceDE w:val="false"/>
        <w:rPr>
          <w:sz w:val="25"/>
          <w:szCs w:val="25"/>
        </w:rPr>
      </w:pPr>
      <w:r>
        <w:rPr>
          <w:sz w:val="25"/>
          <w:szCs w:val="25"/>
        </w:rPr>
        <w:t>Real time balancing is undertaken by the respective Norwegian and Swedish system operators. Generators and consumers willing to adjust their scheduled quantities within 15 minutes notice can submit offers and bids until 19:30 on the day-ahead. An ex post balancing market price is set each hour by the marginal bid or offer used. This price is used to settle any imbalances from a participant’s day-ahead commitments.</w:t>
      </w:r>
    </w:p>
    <w:p>
      <w:pPr>
        <w:pStyle w:val="Normal"/>
        <w:autoSpaceDE w:val="false"/>
        <w:rPr>
          <w:sz w:val="25"/>
          <w:szCs w:val="25"/>
        </w:rPr>
      </w:pPr>
      <w:r>
        <w:rPr>
          <w:sz w:val="25"/>
          <w:szCs w:val="25"/>
        </w:rPr>
      </w:r>
    </w:p>
    <w:p>
      <w:pPr>
        <w:pStyle w:val="Normal"/>
        <w:autoSpaceDE w:val="false"/>
        <w:rPr>
          <w:sz w:val="25"/>
          <w:szCs w:val="25"/>
        </w:rPr>
      </w:pPr>
      <w:r>
        <w:rPr>
          <w:sz w:val="25"/>
          <w:szCs w:val="25"/>
        </w:rPr>
        <w:t>Nord Pool’s day-ahead spot market accounts for around a fifth of electricity</w:t>
      </w:r>
    </w:p>
    <w:p>
      <w:pPr>
        <w:pStyle w:val="Normal"/>
        <w:rPr>
          <w:sz w:val="25"/>
          <w:szCs w:val="25"/>
        </w:rPr>
      </w:pPr>
      <w:r>
        <w:rPr>
          <w:sz w:val="25"/>
          <w:szCs w:val="25"/>
        </w:rPr>
        <w:t>consumption in Norway and Sweden. There has also been a substantial</w:t>
      </w:r>
    </w:p>
    <w:p>
      <w:pPr>
        <w:pStyle w:val="Normal"/>
        <w:autoSpaceDE w:val="false"/>
        <w:rPr>
          <w:sz w:val="25"/>
          <w:szCs w:val="25"/>
        </w:rPr>
      </w:pPr>
      <w:r>
        <w:rPr>
          <w:sz w:val="25"/>
          <w:szCs w:val="25"/>
        </w:rPr>
        <w:t>increase in the use of financial contract instruments. These are traded both over the</w:t>
      </w:r>
    </w:p>
    <w:p>
      <w:pPr>
        <w:pStyle w:val="Normal"/>
        <w:autoSpaceDE w:val="false"/>
        <w:rPr>
          <w:sz w:val="25"/>
          <w:szCs w:val="25"/>
        </w:rPr>
      </w:pPr>
      <w:r>
        <w:rPr>
          <w:sz w:val="25"/>
          <w:szCs w:val="25"/>
        </w:rPr>
        <w:t>counter and through Nord Pool’s futures exchange.</w:t>
      </w:r>
    </w:p>
    <w:p>
      <w:pPr>
        <w:pStyle w:val="Normal"/>
        <w:autoSpaceDE w:val="false"/>
        <w:rPr>
          <w:sz w:val="25"/>
          <w:szCs w:val="25"/>
        </w:rPr>
      </w:pPr>
      <w:r>
        <w:rPr>
          <w:sz w:val="25"/>
          <w:szCs w:val="25"/>
        </w:rPr>
      </w:r>
    </w:p>
    <w:p>
      <w:pPr>
        <w:pStyle w:val="Normal"/>
        <w:autoSpaceDE w:val="false"/>
        <w:rPr>
          <w:sz w:val="25"/>
          <w:szCs w:val="25"/>
        </w:rPr>
      </w:pPr>
      <w:r>
        <w:rPr>
          <w:sz w:val="25"/>
          <w:szCs w:val="25"/>
        </w:rPr>
        <w:t>Nord Pool pioneered the world’s first electricity futures exchange and trading</w:t>
      </w:r>
    </w:p>
    <w:p>
      <w:pPr>
        <w:pStyle w:val="Normal"/>
        <w:autoSpaceDE w:val="false"/>
        <w:rPr>
          <w:sz w:val="25"/>
          <w:szCs w:val="25"/>
        </w:rPr>
      </w:pPr>
      <w:r>
        <w:rPr>
          <w:sz w:val="25"/>
          <w:szCs w:val="25"/>
        </w:rPr>
        <w:t>volumes have grown steadily since the market’s launch. In 1996, Nord</w:t>
      </w:r>
    </w:p>
    <w:p>
      <w:pPr>
        <w:pStyle w:val="Normal"/>
        <w:autoSpaceDE w:val="false"/>
        <w:rPr>
          <w:sz w:val="25"/>
          <w:szCs w:val="25"/>
        </w:rPr>
      </w:pPr>
      <w:r>
        <w:rPr>
          <w:sz w:val="25"/>
          <w:szCs w:val="25"/>
        </w:rPr>
        <w:t>Pool’s futures turnover surpassed sales in the underlying Nord Pool spot market for</w:t>
      </w:r>
    </w:p>
    <w:p>
      <w:pPr>
        <w:pStyle w:val="Normal"/>
        <w:autoSpaceDE w:val="false"/>
        <w:rPr>
          <w:sz w:val="25"/>
          <w:szCs w:val="25"/>
        </w:rPr>
      </w:pPr>
      <w:r>
        <w:rPr>
          <w:sz w:val="25"/>
          <w:szCs w:val="25"/>
        </w:rPr>
        <w:t>the first time.  The Nord Pool futures market, Eltermin, allows participants to secure a price for power up to three years ahead.</w:t>
      </w:r>
    </w:p>
    <w:p>
      <w:pPr>
        <w:pStyle w:val="Normal"/>
        <w:autoSpaceDE w:val="false"/>
        <w:rPr>
          <w:b/>
          <w:bCs/>
          <w:i/>
          <w:i/>
          <w:iCs/>
          <w:sz w:val="25"/>
          <w:szCs w:val="25"/>
        </w:rPr>
      </w:pPr>
      <w:r>
        <w:rPr>
          <w:b/>
          <w:bCs/>
          <w:i/>
          <w:iCs/>
          <w:sz w:val="25"/>
          <w:szCs w:val="25"/>
        </w:rPr>
      </w:r>
    </w:p>
    <w:p>
      <w:pPr>
        <w:pStyle w:val="Normal"/>
        <w:autoSpaceDE w:val="false"/>
        <w:rPr>
          <w:b/>
          <w:bCs/>
          <w:i/>
          <w:i/>
          <w:iCs/>
        </w:rPr>
      </w:pPr>
      <w:r>
        <w:rPr>
          <w:b/>
          <w:bCs/>
          <w:i/>
          <w:iCs/>
        </w:rPr>
        <w:t>Bidding and Dispatch Protocols</w:t>
      </w:r>
    </w:p>
    <w:p>
      <w:pPr>
        <w:pStyle w:val="Normal"/>
        <w:autoSpaceDE w:val="false"/>
        <w:rPr>
          <w:sz w:val="25"/>
          <w:szCs w:val="25"/>
        </w:rPr>
      </w:pPr>
      <w:r>
        <w:rPr>
          <w:sz w:val="25"/>
          <w:szCs w:val="25"/>
        </w:rPr>
        <w:t>Nord Pool market participants submit simple price/volume offers and bids for each hour of the day. These need not relate to any particular group of generating sets,</w:t>
      </w:r>
    </w:p>
    <w:p>
      <w:pPr>
        <w:pStyle w:val="Normal"/>
        <w:autoSpaceDE w:val="false"/>
        <w:rPr>
          <w:sz w:val="25"/>
          <w:szCs w:val="25"/>
        </w:rPr>
      </w:pPr>
      <w:r>
        <w:rPr>
          <w:sz w:val="25"/>
          <w:szCs w:val="25"/>
        </w:rPr>
        <w:t>although their location may be significant in the event of transmission constraints.</w:t>
      </w:r>
    </w:p>
    <w:p>
      <w:pPr>
        <w:pStyle w:val="Normal"/>
        <w:autoSpaceDE w:val="false"/>
        <w:rPr>
          <w:sz w:val="25"/>
          <w:szCs w:val="25"/>
        </w:rPr>
      </w:pPr>
      <w:r>
        <w:rPr>
          <w:sz w:val="25"/>
          <w:szCs w:val="25"/>
        </w:rPr>
        <w:t>Generators do not provide Nord Pool with any technical plant information such as</w:t>
      </w:r>
    </w:p>
    <w:p>
      <w:pPr>
        <w:pStyle w:val="Normal"/>
        <w:rPr>
          <w:sz w:val="25"/>
          <w:szCs w:val="25"/>
        </w:rPr>
      </w:pPr>
      <w:r>
        <w:rPr>
          <w:sz w:val="25"/>
          <w:szCs w:val="25"/>
        </w:rPr>
        <w:t>start-up costs or minimum run times.</w:t>
      </w:r>
    </w:p>
    <w:p>
      <w:pPr>
        <w:pStyle w:val="Normal"/>
        <w:autoSpaceDE w:val="false"/>
        <w:rPr>
          <w:sz w:val="25"/>
          <w:szCs w:val="25"/>
        </w:rPr>
      </w:pPr>
      <w:r>
        <w:rPr>
          <w:sz w:val="25"/>
          <w:szCs w:val="25"/>
        </w:rPr>
      </w:r>
    </w:p>
    <w:p>
      <w:pPr>
        <w:pStyle w:val="Normal"/>
        <w:autoSpaceDE w:val="false"/>
        <w:rPr>
          <w:sz w:val="25"/>
          <w:szCs w:val="25"/>
        </w:rPr>
      </w:pPr>
      <w:r>
        <w:rPr>
          <w:sz w:val="25"/>
          <w:szCs w:val="25"/>
        </w:rPr>
        <w:t>On the day itself, generators self-despatch taking into account their commitments</w:t>
      </w:r>
    </w:p>
    <w:p>
      <w:pPr>
        <w:pStyle w:val="Normal"/>
        <w:rPr>
          <w:sz w:val="25"/>
          <w:szCs w:val="25"/>
        </w:rPr>
      </w:pPr>
      <w:r>
        <w:rPr>
          <w:sz w:val="25"/>
          <w:szCs w:val="25"/>
        </w:rPr>
        <w:t>under bilateral contracts and Nord Pool trades, as notified to the system operator.</w:t>
      </w:r>
    </w:p>
    <w:p>
      <w:pPr>
        <w:pStyle w:val="Normal"/>
        <w:autoSpaceDE w:val="false"/>
        <w:rPr>
          <w:b/>
          <w:bCs/>
          <w:i/>
          <w:i/>
          <w:iCs/>
          <w:sz w:val="25"/>
          <w:szCs w:val="25"/>
        </w:rPr>
      </w:pPr>
      <w:r>
        <w:rPr>
          <w:b/>
          <w:bCs/>
          <w:i/>
          <w:iCs/>
          <w:sz w:val="25"/>
          <w:szCs w:val="25"/>
        </w:rPr>
      </w:r>
    </w:p>
    <w:p>
      <w:pPr>
        <w:pStyle w:val="Normal"/>
        <w:autoSpaceDE w:val="false"/>
        <w:rPr>
          <w:b/>
          <w:bCs/>
          <w:i/>
          <w:i/>
          <w:iCs/>
          <w:sz w:val="25"/>
          <w:szCs w:val="25"/>
        </w:rPr>
      </w:pPr>
      <w:r>
        <w:rPr>
          <w:b/>
          <w:bCs/>
          <w:i/>
          <w:iCs/>
          <w:sz w:val="25"/>
          <w:szCs w:val="25"/>
        </w:rPr>
      </w:r>
    </w:p>
    <w:p>
      <w:pPr>
        <w:pStyle w:val="Normal"/>
        <w:autoSpaceDE w:val="false"/>
        <w:rPr>
          <w:sz w:val="25"/>
          <w:szCs w:val="25"/>
        </w:rPr>
      </w:pPr>
      <w:r>
        <w:rPr>
          <w:sz w:val="25"/>
          <w:szCs w:val="25"/>
        </w:rPr>
      </w:r>
    </w:p>
    <w:p>
      <w:pPr>
        <w:pStyle w:val="Normal"/>
        <w:autoSpaceDE w:val="false"/>
        <w:rPr>
          <w:sz w:val="25"/>
          <w:szCs w:val="25"/>
        </w:rPr>
      </w:pPr>
      <w:r>
        <w:rPr>
          <w:sz w:val="25"/>
          <w:szCs w:val="25"/>
        </w:rPr>
      </w:r>
    </w:p>
    <w:p>
      <w:pPr>
        <w:pStyle w:val="Normal"/>
        <w:autoSpaceDE w:val="false"/>
        <w:rPr>
          <w:sz w:val="25"/>
          <w:szCs w:val="25"/>
        </w:rPr>
      </w:pPr>
      <w:r>
        <w:rPr>
          <w:sz w:val="25"/>
          <w:szCs w:val="25"/>
        </w:rPr>
      </w:r>
    </w:p>
    <w:p>
      <w:pPr>
        <w:pStyle w:val="Normal"/>
        <w:autoSpaceDE w:val="false"/>
        <w:rPr>
          <w:sz w:val="25"/>
          <w:szCs w:val="25"/>
        </w:rPr>
      </w:pPr>
      <w:r>
        <w:rPr>
          <w:sz w:val="25"/>
          <w:szCs w:val="25"/>
        </w:rPr>
      </w:r>
    </w:p>
    <w:p>
      <w:pPr>
        <w:pStyle w:val="Normal"/>
        <w:autoSpaceDE w:val="false"/>
        <w:rPr>
          <w:sz w:val="25"/>
          <w:szCs w:val="25"/>
        </w:rPr>
      </w:pPr>
      <w:r>
        <w:rPr>
          <w:sz w:val="25"/>
          <w:szCs w:val="25"/>
        </w:rPr>
        <w:t>Demand and supply are treated identically within Nord Pool. Participants bid their net purchase requirements in the form of price and quantity curves for each hour of the following day. Accepted bid volumes become firm purchase commitments at the ex ante market price. Demand side participants can also submit bids to the within</w:t>
      </w:r>
    </w:p>
    <w:p>
      <w:pPr>
        <w:pStyle w:val="Normal"/>
        <w:autoSpaceDE w:val="false"/>
        <w:rPr>
          <w:sz w:val="25"/>
          <w:szCs w:val="25"/>
        </w:rPr>
      </w:pPr>
      <w:r>
        <w:rPr>
          <w:sz w:val="25"/>
          <w:szCs w:val="25"/>
        </w:rPr>
        <w:t>day balancing market if they are prepared to adjust their consumption levels within</w:t>
      </w:r>
    </w:p>
    <w:p>
      <w:pPr>
        <w:pStyle w:val="Normal"/>
        <w:rPr>
          <w:sz w:val="25"/>
          <w:szCs w:val="25"/>
        </w:rPr>
      </w:pPr>
      <w:r>
        <w:rPr>
          <w:sz w:val="25"/>
          <w:szCs w:val="25"/>
        </w:rPr>
        <w:t>15 minutes.</w:t>
      </w:r>
    </w:p>
    <w:sectPr>
      <w:type w:val="nextPage"/>
      <w:pgSz w:w="12240" w:h="15840"/>
      <w:pgMar w:left="1800" w:right="1800" w:gutter="0" w:header="0" w:top="1627" w:footer="0" w:bottom="0"/>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b/>
      <w:bCs/>
      <w:i/>
      <w:iCs/>
      <w:sz w:val="25"/>
      <w:szCs w:val="25"/>
    </w:rPr>
  </w:style>
  <w:style w:type="character" w:styleId="DefaultParagraphFont">
    <w:name w:val="Default Paragraph Font"/>
    <w:qFormat/>
    <w:rPr/>
  </w:style>
  <w:style w:type="paragraph" w:styleId="Heading">
    <w:name w:val="Heading"/>
    <w:basedOn w:val="Normal"/>
    <w:next w:val="BodyText"/>
    <w:qFormat/>
    <w:pPr>
      <w:autoSpaceDE w:val="false"/>
      <w:jc w:val="center"/>
    </w:pPr>
    <w:rPr>
      <w:b/>
      <w:bCs/>
      <w:smallCap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2001-01-04T22:16:00Z</dcterms:created>
  <dc:creator>ahrach</dc:creator>
  <dc:description/>
  <dc:language>en-CA</dc:language>
  <cp:lastModifiedBy>jdasovic</cp:lastModifiedBy>
  <cp:lastPrinted>2001-01-04T19:00:00Z</cp:lastPrinted>
  <dcterms:modified xsi:type="dcterms:W3CDTF">2001-01-04T22:45:00Z</dcterms:modified>
  <cp:revision>6</cp:revision>
  <dc:subject/>
  <dc:title>Scandinavia</dc:title>
</cp:coreProperties>
</file>